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0D0B6" w14:textId="77777777" w:rsidR="009D52D2" w:rsidRDefault="00591658" w:rsidP="009D52D2">
      <w:pPr>
        <w:pStyle w:val="3GPPHeader"/>
        <w:rPr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#92bis</w:t>
      </w:r>
      <w:r w:rsidRPr="000C5734">
        <w:rPr>
          <w:lang w:val="en-US"/>
        </w:rPr>
        <w:tab/>
      </w:r>
      <w:r w:rsidR="009D52D2" w:rsidRPr="009D52D2">
        <w:rPr>
          <w:lang w:val="en-US"/>
        </w:rPr>
        <w:t>R1-1805009</w:t>
      </w:r>
    </w:p>
    <w:p w14:paraId="614481B5" w14:textId="0840412B" w:rsidR="00591658" w:rsidRPr="007679B0" w:rsidRDefault="00591658" w:rsidP="009D52D2">
      <w:pPr>
        <w:pStyle w:val="3GPPHeader"/>
        <w:rPr>
          <w:lang w:val="en-US"/>
        </w:rPr>
      </w:pPr>
      <w:r>
        <w:rPr>
          <w:lang w:val="en-US"/>
        </w:rPr>
        <w:t>Sanya</w:t>
      </w:r>
      <w:r w:rsidRPr="000C5734">
        <w:rPr>
          <w:lang w:val="en-US"/>
        </w:rPr>
        <w:t>,</w:t>
      </w:r>
      <w:r>
        <w:rPr>
          <w:lang w:val="en-US"/>
        </w:rPr>
        <w:t xml:space="preserve"> China,</w:t>
      </w:r>
      <w:r w:rsidRPr="000C5734">
        <w:rPr>
          <w:lang w:val="en-US"/>
        </w:rPr>
        <w:t xml:space="preserve"> </w:t>
      </w:r>
      <w:r>
        <w:rPr>
          <w:lang w:val="en-US"/>
        </w:rPr>
        <w:t>16</w:t>
      </w:r>
      <w:r w:rsidRPr="00E90812">
        <w:rPr>
          <w:vertAlign w:val="superscript"/>
          <w:lang w:val="en-US"/>
        </w:rPr>
        <w:t>th</w:t>
      </w:r>
      <w:r>
        <w:rPr>
          <w:lang w:val="en-US"/>
        </w:rPr>
        <w:t xml:space="preserve"> – 20</w:t>
      </w:r>
      <w:r w:rsidRPr="0054355F">
        <w:rPr>
          <w:vertAlign w:val="superscript"/>
          <w:lang w:val="en-US"/>
        </w:rPr>
        <w:t>th</w:t>
      </w:r>
      <w:r>
        <w:rPr>
          <w:lang w:val="en-US"/>
        </w:rPr>
        <w:t xml:space="preserve"> April,</w:t>
      </w:r>
      <w:r w:rsidRPr="000C5734">
        <w:rPr>
          <w:lang w:val="en-US"/>
        </w:rPr>
        <w:t xml:space="preserve"> 2018</w:t>
      </w:r>
    </w:p>
    <w:p w14:paraId="4190D553" w14:textId="77777777" w:rsidR="00E90E49" w:rsidRPr="009D52D2" w:rsidRDefault="00E90E49" w:rsidP="00357380">
      <w:pPr>
        <w:pStyle w:val="3GPPHeader"/>
        <w:rPr>
          <w:lang w:val="en-US"/>
        </w:rPr>
      </w:pPr>
    </w:p>
    <w:p w14:paraId="126A5E11" w14:textId="55C41943" w:rsidR="002C7218" w:rsidRPr="002C7218" w:rsidRDefault="002C7218" w:rsidP="002C7218">
      <w:pPr>
        <w:pStyle w:val="3GPPHeader"/>
        <w:rPr>
          <w:sz w:val="22"/>
          <w:szCs w:val="22"/>
        </w:rPr>
      </w:pPr>
      <w:r w:rsidRPr="002C7218">
        <w:rPr>
          <w:sz w:val="22"/>
          <w:szCs w:val="22"/>
        </w:rPr>
        <w:t>Agenda Item:</w:t>
      </w:r>
      <w:r w:rsidRPr="002C7218">
        <w:rPr>
          <w:sz w:val="22"/>
          <w:szCs w:val="22"/>
        </w:rPr>
        <w:tab/>
        <w:t>7.6.</w:t>
      </w:r>
      <w:r w:rsidR="00047BD0">
        <w:rPr>
          <w:sz w:val="22"/>
          <w:szCs w:val="22"/>
        </w:rPr>
        <w:t>2</w:t>
      </w:r>
    </w:p>
    <w:p w14:paraId="088F542C" w14:textId="2B165291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D9CCAF6" w14:textId="5F6FE34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F5209">
        <w:rPr>
          <w:sz w:val="22"/>
          <w:szCs w:val="22"/>
        </w:rPr>
        <w:t xml:space="preserve">On </w:t>
      </w:r>
      <w:r w:rsidR="00B519BD">
        <w:rPr>
          <w:sz w:val="22"/>
          <w:szCs w:val="22"/>
        </w:rPr>
        <w:t xml:space="preserve">Frame Structure </w:t>
      </w:r>
      <w:r w:rsidR="006F1C0A" w:rsidRPr="006F1C0A">
        <w:rPr>
          <w:sz w:val="22"/>
          <w:szCs w:val="22"/>
        </w:rPr>
        <w:t>for NR in Unlicensed Spectrum</w:t>
      </w:r>
    </w:p>
    <w:p w14:paraId="79A6BD3B" w14:textId="2AF80A81" w:rsidR="00E90E49" w:rsidRPr="00B519BD" w:rsidRDefault="00E90E49" w:rsidP="00B519BD">
      <w:pPr>
        <w:pStyle w:val="3GPPHeader"/>
        <w:rPr>
          <w:sz w:val="22"/>
          <w:szCs w:val="22"/>
        </w:rPr>
      </w:pPr>
      <w:r w:rsidRPr="00291F26">
        <w:rPr>
          <w:sz w:val="22"/>
          <w:szCs w:val="22"/>
        </w:rPr>
        <w:t>Document for:</w:t>
      </w:r>
      <w:r w:rsidRPr="00291F26">
        <w:rPr>
          <w:sz w:val="22"/>
          <w:szCs w:val="22"/>
        </w:rPr>
        <w:tab/>
      </w:r>
      <w:r w:rsidRPr="00B519BD">
        <w:rPr>
          <w:b w:val="0"/>
          <w:bCs/>
          <w:sz w:val="22"/>
          <w:szCs w:val="22"/>
        </w:rPr>
        <w:t>Discussion, Decision</w:t>
      </w:r>
    </w:p>
    <w:p w14:paraId="0CB66C7C" w14:textId="1F6EA96A" w:rsidR="00C24345" w:rsidRDefault="00E90E49" w:rsidP="00A2052C">
      <w:pPr>
        <w:pStyle w:val="Heading1"/>
      </w:pPr>
      <w:r w:rsidRPr="00CE0424">
        <w:t>Introduction</w:t>
      </w:r>
    </w:p>
    <w:p w14:paraId="3076EB27" w14:textId="69AB7B33" w:rsidR="009620B3" w:rsidRPr="00097904" w:rsidRDefault="00097904" w:rsidP="00097904">
      <w:pPr>
        <w:pStyle w:val="BodyText"/>
        <w:rPr>
          <w:rFonts w:ascii="Times New Roman" w:hAnsi="Times New Roman"/>
          <w:lang w:val="en-US" w:eastAsia="en-US"/>
        </w:rPr>
      </w:pPr>
      <w:r>
        <w:t>In order to efficiently utilize the large amounts of unlicensed spectrum available worldwide, both licensed operation and unlicensed operation are considered for NR. At RAN-7</w:t>
      </w:r>
      <w:r w:rsidR="002C7218">
        <w:t>6</w:t>
      </w:r>
      <w:r>
        <w:t xml:space="preserve">, a study item on NR-based Access to Unlicensed Spectrum was approved </w:t>
      </w:r>
      <w:r>
        <w:fldChar w:fldCharType="begin"/>
      </w:r>
      <w:r>
        <w:instrText xml:space="preserve"> REF _Ref481486326 \r \h </w:instrText>
      </w:r>
      <w:r>
        <w:fldChar w:fldCharType="separate"/>
      </w:r>
      <w:r>
        <w:t>[1]</w:t>
      </w:r>
      <w:r>
        <w:fldChar w:fldCharType="end"/>
      </w:r>
      <w:r>
        <w:t>.</w:t>
      </w:r>
      <w:r w:rsidRPr="00097904">
        <w:t xml:space="preserve"> </w:t>
      </w:r>
      <w:r>
        <w:t xml:space="preserve">In this contribution, we discuss NR-U frame structure. </w:t>
      </w:r>
    </w:p>
    <w:p w14:paraId="141091B9" w14:textId="3B6177DC" w:rsidR="00A56357" w:rsidRDefault="005F5209" w:rsidP="00CE0424">
      <w:pPr>
        <w:pStyle w:val="Heading1"/>
      </w:pPr>
      <w:bookmarkStart w:id="0" w:name="_Ref178064866"/>
      <w:r>
        <w:t xml:space="preserve">Discussions </w:t>
      </w:r>
    </w:p>
    <w:bookmarkEnd w:id="0"/>
    <w:p w14:paraId="567C98F3" w14:textId="53EC8162" w:rsidR="00FD14DB" w:rsidRDefault="00FD14DB" w:rsidP="00615618">
      <w:pPr>
        <w:pStyle w:val="Heading2"/>
      </w:pPr>
      <w:r>
        <w:t>NR Frame Structure</w:t>
      </w:r>
    </w:p>
    <w:p w14:paraId="49DFEB7E" w14:textId="77777777" w:rsidR="00A01B7D" w:rsidRDefault="007B68FC" w:rsidP="00460C54">
      <w:pPr>
        <w:rPr>
          <w:lang w:val="en-US"/>
        </w:rPr>
      </w:pPr>
      <w:r w:rsidRPr="00FD14DB">
        <w:rPr>
          <w:lang w:val="en-US"/>
        </w:rPr>
        <w:t>NR supports FDD, dynamic TDD, and TDD with semi-statically configured UL/DL configuration</w:t>
      </w:r>
      <w:r>
        <w:rPr>
          <w:lang w:val="en-US"/>
        </w:rPr>
        <w:t xml:space="preserve">. </w:t>
      </w:r>
    </w:p>
    <w:p w14:paraId="332C78E0" w14:textId="27F700A1" w:rsidR="00FD14DB" w:rsidRDefault="00A01B7D" w:rsidP="00460C54">
      <w:pPr>
        <w:rPr>
          <w:lang w:val="en-US"/>
        </w:rPr>
      </w:pPr>
      <w:r w:rsidRPr="00B519BD">
        <w:rPr>
          <w:lang w:val="en-US"/>
        </w:rPr>
        <w:t xml:space="preserve">In </w:t>
      </w:r>
      <w:r w:rsidR="00FD14DB" w:rsidRPr="00B519BD">
        <w:t>dynamic TDD</w:t>
      </w:r>
      <w:r w:rsidRPr="00B519BD">
        <w:t xml:space="preserve"> case</w:t>
      </w:r>
      <w:r w:rsidR="00FD14DB" w:rsidRPr="00B519BD">
        <w:t xml:space="preserve"> </w:t>
      </w:r>
      <w:r w:rsidRPr="00B519BD">
        <w:t xml:space="preserve">the slot, or part of it, carrying data is </w:t>
      </w:r>
      <w:r w:rsidR="00FD14DB" w:rsidRPr="00B519BD">
        <w:t>assignable to either uplink or downlink on a dynamic basis under the control of the scheduler</w:t>
      </w:r>
      <w:r w:rsidR="007B68FC" w:rsidRPr="00B519BD">
        <w:t>. The UE simply follows the scheduling assignments and grants</w:t>
      </w:r>
      <w:r w:rsidR="007B68FC">
        <w:t xml:space="preserve"> received from the scheduler. If a downlink assignment is received for a certain time interval (e.g. a slot), the UE receives and processes the downlink data. Similarly, if an uplink grant is received, instructing the UE to transmit in a certain time interval, the UE does so.</w:t>
      </w:r>
    </w:p>
    <w:p w14:paraId="11B9E65D" w14:textId="466C30F4" w:rsidR="00A608CC" w:rsidRPr="00437D6F" w:rsidRDefault="004D2F04" w:rsidP="00460C54">
      <w:pPr>
        <w:rPr>
          <w:lang w:val="en-US"/>
        </w:rPr>
      </w:pPr>
      <w:r>
        <w:rPr>
          <w:lang w:val="en-US"/>
        </w:rPr>
        <w:t>The s</w:t>
      </w:r>
      <w:r w:rsidR="001D2DEA" w:rsidRPr="004D2F04">
        <w:rPr>
          <w:lang w:val="en-US"/>
        </w:rPr>
        <w:t>emi-stati</w:t>
      </w:r>
      <w:r>
        <w:rPr>
          <w:lang w:val="en-US"/>
        </w:rPr>
        <w:t xml:space="preserve">c DL/UL assignment is done via </w:t>
      </w:r>
      <w:r w:rsidR="001D2DEA" w:rsidRPr="004D2F04">
        <w:rPr>
          <w:lang w:val="en-US"/>
        </w:rPr>
        <w:t xml:space="preserve">cell-specific </w:t>
      </w:r>
      <w:r>
        <w:rPr>
          <w:lang w:val="en-US"/>
        </w:rPr>
        <w:t>and</w:t>
      </w:r>
      <w:r w:rsidR="001D2DEA" w:rsidRPr="004D2F04">
        <w:rPr>
          <w:lang w:val="en-US"/>
        </w:rPr>
        <w:t xml:space="preserve"> UE-specific RRC configuration</w:t>
      </w:r>
      <w:r>
        <w:rPr>
          <w:lang w:val="en-US"/>
        </w:rPr>
        <w:t xml:space="preserve">. </w:t>
      </w:r>
      <w:r w:rsidR="00460C54">
        <w:rPr>
          <w:lang w:val="en-US"/>
        </w:rPr>
        <w:t>W</w:t>
      </w:r>
      <w:r>
        <w:rPr>
          <w:lang w:val="en-US"/>
        </w:rPr>
        <w:t>ith the cell-specific configuration, the UE is allocated a DL-unknown-UL pattern.</w:t>
      </w:r>
      <w:r w:rsidRPr="00460C54">
        <w:rPr>
          <w:lang w:val="en-US"/>
        </w:rPr>
        <w:t xml:space="preserve"> </w:t>
      </w:r>
      <w:r w:rsidR="00460C54">
        <w:rPr>
          <w:lang w:val="en-US"/>
        </w:rPr>
        <w:t>The “unknown” resources are flexible resources that can be assigned DL or UL direction using UE-specific configuration or dynamic signaling. T</w:t>
      </w:r>
      <w:r w:rsidRPr="00460C54">
        <w:rPr>
          <w:lang w:val="en-US"/>
        </w:rPr>
        <w:t xml:space="preserve">he </w:t>
      </w:r>
      <w:r w:rsidR="001D2DEA" w:rsidRPr="00460C54">
        <w:rPr>
          <w:lang w:val="en-US"/>
        </w:rPr>
        <w:t xml:space="preserve">UE-specific RRC </w:t>
      </w:r>
      <w:r w:rsidR="00B519BD" w:rsidRPr="00460C54">
        <w:rPr>
          <w:lang w:val="en-US"/>
        </w:rPr>
        <w:t>signaling</w:t>
      </w:r>
      <w:r w:rsidR="001D2DEA" w:rsidRPr="00460C54">
        <w:rPr>
          <w:lang w:val="en-US"/>
        </w:rPr>
        <w:t xml:space="preserve"> includes the indication as per slot basis</w:t>
      </w:r>
      <w:r w:rsidR="00460C54" w:rsidRPr="00460C54">
        <w:rPr>
          <w:lang w:val="en-US"/>
        </w:rPr>
        <w:t xml:space="preserve"> that can override the “unknown” allocation in the cell-specific configuration. </w:t>
      </w:r>
      <w:r w:rsidR="00B519BD">
        <w:rPr>
          <w:lang w:val="en-US"/>
        </w:rPr>
        <w:t>R</w:t>
      </w:r>
      <w:r w:rsidR="00460C54" w:rsidRPr="00460C54">
        <w:rPr>
          <w:lang w:val="en-US"/>
        </w:rPr>
        <w:t>esourc</w:t>
      </w:r>
      <w:r w:rsidR="00460C54">
        <w:rPr>
          <w:lang w:val="en-US"/>
        </w:rPr>
        <w:t>es</w:t>
      </w:r>
      <w:r w:rsidR="00460C54" w:rsidRPr="00460C54">
        <w:rPr>
          <w:lang w:val="en-US"/>
        </w:rPr>
        <w:t xml:space="preserve"> in the slot configuration</w:t>
      </w:r>
      <w:r w:rsidR="001D2DEA" w:rsidRPr="00460C54">
        <w:rPr>
          <w:lang w:val="en-US"/>
        </w:rPr>
        <w:t xml:space="preserve"> </w:t>
      </w:r>
      <w:r w:rsidR="00460C54" w:rsidRPr="00460C54">
        <w:rPr>
          <w:lang w:val="en-US"/>
        </w:rPr>
        <w:t xml:space="preserve">that are </w:t>
      </w:r>
      <w:r w:rsidR="001D2DEA" w:rsidRPr="00460C54">
        <w:rPr>
          <w:lang w:val="en-US"/>
        </w:rPr>
        <w:t>wi</w:t>
      </w:r>
      <w:r w:rsidR="00460C54" w:rsidRPr="00460C54">
        <w:rPr>
          <w:lang w:val="en-US"/>
        </w:rPr>
        <w:t xml:space="preserve">thout DL/UL indication remain </w:t>
      </w:r>
      <w:r w:rsidR="00460C54">
        <w:rPr>
          <w:lang w:val="en-US"/>
        </w:rPr>
        <w:t>flexible resources.</w:t>
      </w:r>
    </w:p>
    <w:p w14:paraId="528192CC" w14:textId="22C1C5D0" w:rsidR="00437D6F" w:rsidRDefault="00460C54" w:rsidP="00B519BD">
      <w:pPr>
        <w:pStyle w:val="BodyText"/>
        <w:rPr>
          <w:lang w:val="en-US"/>
        </w:rPr>
      </w:pPr>
      <w:r>
        <w:t xml:space="preserve">Operation in unlicensed spectrum clearly requires a dynamic TDD scheme similar to </w:t>
      </w:r>
      <w:r w:rsidR="00437D6F">
        <w:t>f</w:t>
      </w:r>
      <w:r>
        <w:t xml:space="preserve">rame structure 3 used for LAA. However, </w:t>
      </w:r>
      <w:r>
        <w:rPr>
          <w:lang w:val="en-US"/>
        </w:rPr>
        <w:t>s</w:t>
      </w:r>
      <w:r w:rsidRPr="004D2F04">
        <w:rPr>
          <w:lang w:val="en-US"/>
        </w:rPr>
        <w:t>emi-stati</w:t>
      </w:r>
      <w:r>
        <w:rPr>
          <w:lang w:val="en-US"/>
        </w:rPr>
        <w:t>c assignments can be used to indicate DL subframes that carry synchronization and broadcast signals.</w:t>
      </w:r>
    </w:p>
    <w:p w14:paraId="1B0759CE" w14:textId="2EC12658" w:rsidR="00460C54" w:rsidRDefault="00437D6F" w:rsidP="00B519BD">
      <w:pPr>
        <w:pStyle w:val="Observation"/>
      </w:pPr>
      <w:r>
        <w:t xml:space="preserve">Both Dynamic TDD and TDD with semi-statically configured UL/DL configuration are beneficial for NR-U operation. </w:t>
      </w:r>
    </w:p>
    <w:p w14:paraId="49A2022C" w14:textId="5E2E12B3" w:rsidR="000D423F" w:rsidRDefault="00855191" w:rsidP="00B519BD">
      <w:pPr>
        <w:pStyle w:val="Proposal"/>
        <w:tabs>
          <w:tab w:val="clear" w:pos="1304"/>
        </w:tabs>
        <w:ind w:left="1701" w:hanging="1701"/>
      </w:pPr>
      <w:r>
        <w:t>NR-U should support both dynamic and semi-static DL/UL configurations.</w:t>
      </w:r>
    </w:p>
    <w:p w14:paraId="629A9A1E" w14:textId="30E877A4" w:rsidR="000D423F" w:rsidRDefault="000D423F" w:rsidP="00436933">
      <w:pPr>
        <w:pStyle w:val="Heading3"/>
      </w:pPr>
      <w:r>
        <w:t>Slots</w:t>
      </w:r>
    </w:p>
    <w:p w14:paraId="5412982B" w14:textId="081A37AA" w:rsidR="00F02BB1" w:rsidRDefault="0000621F" w:rsidP="00F02BB1">
      <w:pPr>
        <w:pStyle w:val="BodyText"/>
      </w:pPr>
      <w:r>
        <w:t>In NR</w:t>
      </w:r>
      <w:r w:rsidR="000D423F">
        <w:t>, a slot is 14 OFDM symbol length</w:t>
      </w:r>
      <w:r>
        <w:t xml:space="preserve">, irrespective of the numerology used. Nevertheless, NR support shorter transmit duration than a regular 14 OS slot via </w:t>
      </w:r>
      <w:r w:rsidR="00851EEF">
        <w:t xml:space="preserve">introducing </w:t>
      </w:r>
      <w:r w:rsidR="00436933">
        <w:t>non-slot based scheduling</w:t>
      </w:r>
      <w:r w:rsidR="00E9269D">
        <w:t xml:space="preserve"> (a.k.a mini-slots)</w:t>
      </w:r>
      <w:r w:rsidR="00F02BB1">
        <w:t>. This is useful for several reasons including</w:t>
      </w:r>
    </w:p>
    <w:p w14:paraId="3976CD84" w14:textId="77777777" w:rsidR="00F02BB1" w:rsidRPr="00523036" w:rsidRDefault="00F02BB1" w:rsidP="00F02BB1">
      <w:pPr>
        <w:pStyle w:val="BodyText"/>
        <w:numPr>
          <w:ilvl w:val="0"/>
          <w:numId w:val="21"/>
        </w:numPr>
        <w:rPr>
          <w:color w:val="000000"/>
        </w:rPr>
      </w:pPr>
      <w:r w:rsidRPr="00523036">
        <w:rPr>
          <w:color w:val="000000"/>
        </w:rPr>
        <w:t>Multiple starting position</w:t>
      </w:r>
      <w:r>
        <w:rPr>
          <w:color w:val="000000"/>
        </w:rPr>
        <w:t>s</w:t>
      </w:r>
      <w:r w:rsidRPr="00523036">
        <w:rPr>
          <w:color w:val="000000"/>
        </w:rPr>
        <w:t xml:space="preserve"> within a slot duration </w:t>
      </w:r>
    </w:p>
    <w:p w14:paraId="1DB710D4" w14:textId="77777777" w:rsidR="00F02BB1" w:rsidRPr="00523036" w:rsidRDefault="00F02BB1" w:rsidP="00F02BB1">
      <w:pPr>
        <w:pStyle w:val="BodyText"/>
        <w:numPr>
          <w:ilvl w:val="0"/>
          <w:numId w:val="21"/>
        </w:numPr>
        <w:rPr>
          <w:color w:val="000000"/>
        </w:rPr>
      </w:pPr>
      <w:r w:rsidRPr="00523036">
        <w:rPr>
          <w:color w:val="000000"/>
        </w:rPr>
        <w:t xml:space="preserve">Faster processing delays and feedback </w:t>
      </w:r>
    </w:p>
    <w:p w14:paraId="631158BE" w14:textId="54DC9437" w:rsidR="00F02BB1" w:rsidRPr="005C0D23" w:rsidRDefault="00F02BB1" w:rsidP="005C0D23">
      <w:pPr>
        <w:pStyle w:val="BodyText"/>
        <w:numPr>
          <w:ilvl w:val="0"/>
          <w:numId w:val="21"/>
        </w:numPr>
        <w:rPr>
          <w:color w:val="000000"/>
        </w:rPr>
      </w:pPr>
      <w:r>
        <w:rPr>
          <w:color w:val="000000"/>
        </w:rPr>
        <w:lastRenderedPageBreak/>
        <w:t>S</w:t>
      </w:r>
      <w:r w:rsidRPr="00523036">
        <w:rPr>
          <w:color w:val="000000"/>
        </w:rPr>
        <w:t xml:space="preserve">horter transmission duration than a regular </w:t>
      </w:r>
      <w:r>
        <w:rPr>
          <w:color w:val="000000"/>
        </w:rPr>
        <w:t xml:space="preserve">slot which is </w:t>
      </w:r>
      <w:r w:rsidRPr="00523036">
        <w:rPr>
          <w:color w:val="000000"/>
        </w:rPr>
        <w:t xml:space="preserve">suitable for small packets </w:t>
      </w:r>
      <w:r>
        <w:rPr>
          <w:color w:val="000000"/>
        </w:rPr>
        <w:t>(such as TCP ACKS)</w:t>
      </w:r>
    </w:p>
    <w:p w14:paraId="69C98B6F" w14:textId="4B928CBE" w:rsidR="00F02BB1" w:rsidRDefault="005C0D23" w:rsidP="005C0D23">
      <w:r>
        <w:t xml:space="preserve">This kind of flexibility is specially needed for the unlicensed channel operation. </w:t>
      </w:r>
    </w:p>
    <w:p w14:paraId="502E329C" w14:textId="03DB2E07" w:rsidR="00F4700D" w:rsidRDefault="00F4700D" w:rsidP="00B519BD">
      <w:pPr>
        <w:pStyle w:val="Observation"/>
      </w:pPr>
      <w:r>
        <w:t>Mini-slot enhances NR-U channel access by enabling access to the channel at a much finer granularity</w:t>
      </w:r>
    </w:p>
    <w:p w14:paraId="6CD9B7C8" w14:textId="2863D748" w:rsidR="004B5247" w:rsidRDefault="00F4700D" w:rsidP="00851EEF">
      <w:r>
        <w:t>T</w:t>
      </w:r>
      <w:r w:rsidR="005C0D23">
        <w:t xml:space="preserve">he non-slot based scheduling is </w:t>
      </w:r>
      <w:r w:rsidR="00436933">
        <w:t xml:space="preserve">enabled by: </w:t>
      </w:r>
    </w:p>
    <w:p w14:paraId="59F424AA" w14:textId="77777777" w:rsidR="00436933" w:rsidRPr="00B519BD" w:rsidRDefault="00851EEF" w:rsidP="00B519BD">
      <w:pPr>
        <w:pStyle w:val="BodyText"/>
        <w:numPr>
          <w:ilvl w:val="0"/>
          <w:numId w:val="21"/>
        </w:numPr>
        <w:rPr>
          <w:color w:val="000000"/>
        </w:rPr>
      </w:pPr>
      <w:r w:rsidRPr="00B519BD">
        <w:rPr>
          <w:color w:val="000000"/>
        </w:rPr>
        <w:t>Time-domain PDSCH resources field of the DCI</w:t>
      </w:r>
    </w:p>
    <w:p w14:paraId="6DA9310F" w14:textId="043123DA" w:rsidR="00851EEF" w:rsidRPr="00B519BD" w:rsidRDefault="00F4700D" w:rsidP="00B519BD">
      <w:pPr>
        <w:pStyle w:val="BodyText"/>
        <w:numPr>
          <w:ilvl w:val="0"/>
          <w:numId w:val="21"/>
        </w:numPr>
        <w:rPr>
          <w:color w:val="000000"/>
        </w:rPr>
      </w:pPr>
      <w:r>
        <w:rPr>
          <w:color w:val="000000"/>
        </w:rPr>
        <w:t>M</w:t>
      </w:r>
      <w:r w:rsidR="00436933" w:rsidRPr="00B519BD">
        <w:rPr>
          <w:color w:val="000000"/>
        </w:rPr>
        <w:t>ultiple CORESETs per BWP in the time domain</w:t>
      </w:r>
    </w:p>
    <w:p w14:paraId="15DC5172" w14:textId="62B0C96C" w:rsidR="00436933" w:rsidRPr="00B519BD" w:rsidRDefault="00436933" w:rsidP="00B519BD">
      <w:pPr>
        <w:pStyle w:val="BodyText"/>
        <w:numPr>
          <w:ilvl w:val="0"/>
          <w:numId w:val="21"/>
        </w:numPr>
        <w:rPr>
          <w:color w:val="000000"/>
        </w:rPr>
      </w:pPr>
      <w:r w:rsidRPr="00B519BD">
        <w:rPr>
          <w:color w:val="000000"/>
        </w:rPr>
        <w:t>DMRS location depends on the scheduling scheme used</w:t>
      </w:r>
    </w:p>
    <w:p w14:paraId="6E65D3B2" w14:textId="4E2FAF8C" w:rsidR="00436933" w:rsidRPr="00B519BD" w:rsidRDefault="00F02BB1" w:rsidP="00436933">
      <w:pPr>
        <w:overflowPunct/>
        <w:autoSpaceDE/>
        <w:autoSpaceDN/>
        <w:adjustRightInd/>
        <w:jc w:val="left"/>
        <w:textAlignment w:val="auto"/>
        <w:rPr>
          <w:rFonts w:ascii="Segoe UI" w:hAnsi="Segoe UI" w:cs="Segoe UI"/>
          <w:lang w:val="en-US" w:eastAsia="en-US"/>
        </w:rPr>
      </w:pPr>
      <w:r w:rsidRPr="00B519BD">
        <w:rPr>
          <w:rFonts w:asciiTheme="minorBidi" w:hAnsiTheme="minorBidi" w:cstheme="minorBidi"/>
          <w:lang w:val="en-US" w:eastAsia="en-US"/>
        </w:rPr>
        <w:t>T</w:t>
      </w:r>
      <w:r w:rsidR="00436933" w:rsidRPr="00B519BD">
        <w:rPr>
          <w:rFonts w:asciiTheme="minorBidi" w:hAnsiTheme="minorBidi" w:cstheme="minorBidi"/>
          <w:lang w:val="en-US" w:eastAsia="en-US"/>
        </w:rPr>
        <w:t xml:space="preserve">he </w:t>
      </w:r>
      <w:r w:rsidR="00436933" w:rsidRPr="00B519BD">
        <w:rPr>
          <w:rFonts w:ascii="Segoe UI" w:hAnsi="Segoe UI" w:cs="Segoe UI"/>
          <w:i/>
          <w:lang w:val="en-US" w:eastAsia="en-US"/>
        </w:rPr>
        <w:t xml:space="preserve">Time-domain PDSCH </w:t>
      </w:r>
      <w:r w:rsidR="00436933" w:rsidRPr="00B519BD">
        <w:rPr>
          <w:rFonts w:asciiTheme="minorBidi" w:hAnsiTheme="minorBidi" w:cstheme="minorBidi"/>
          <w:lang w:val="en-US" w:eastAsia="en-US"/>
        </w:rPr>
        <w:t>resources field of the DCI provides an indication to:</w:t>
      </w:r>
      <w:r w:rsidR="00436933" w:rsidRPr="00B519BD">
        <w:rPr>
          <w:rFonts w:ascii="Segoe UI" w:hAnsi="Segoe UI" w:cs="Segoe UI"/>
          <w:lang w:val="en-US" w:eastAsia="en-US"/>
        </w:rPr>
        <w:t xml:space="preserve"> </w:t>
      </w:r>
    </w:p>
    <w:p w14:paraId="40DF6A98" w14:textId="07AF1498" w:rsidR="00436933" w:rsidRPr="00B519BD" w:rsidRDefault="00F02BB1" w:rsidP="00B519BD">
      <w:pPr>
        <w:pStyle w:val="BodyText"/>
        <w:numPr>
          <w:ilvl w:val="0"/>
          <w:numId w:val="21"/>
        </w:numPr>
        <w:rPr>
          <w:color w:val="000000"/>
        </w:rPr>
      </w:pPr>
      <w:r w:rsidRPr="00B519BD">
        <w:rPr>
          <w:color w:val="000000"/>
        </w:rPr>
        <w:t xml:space="preserve">the allocated slot </w:t>
      </w:r>
    </w:p>
    <w:p w14:paraId="276FDF67" w14:textId="5CD050ED" w:rsidR="00436933" w:rsidRPr="00B519BD" w:rsidRDefault="00436933" w:rsidP="00B519BD">
      <w:pPr>
        <w:pStyle w:val="BodyText"/>
        <w:numPr>
          <w:ilvl w:val="0"/>
          <w:numId w:val="21"/>
        </w:numPr>
        <w:rPr>
          <w:color w:val="000000"/>
        </w:rPr>
      </w:pPr>
      <w:r w:rsidRPr="00B519BD">
        <w:rPr>
          <w:color w:val="000000"/>
        </w:rPr>
        <w:t>The starting symbol relative to the start of the slot, and the number of consecutive symbols counting from the starting symbols</w:t>
      </w:r>
    </w:p>
    <w:p w14:paraId="0A78CF4A" w14:textId="0B606B15" w:rsidR="00F02BB1" w:rsidRPr="00B519BD" w:rsidRDefault="00436933" w:rsidP="00B519BD">
      <w:pPr>
        <w:pStyle w:val="BodyText"/>
        <w:numPr>
          <w:ilvl w:val="0"/>
          <w:numId w:val="21"/>
        </w:numPr>
        <w:rPr>
          <w:color w:val="000000"/>
        </w:rPr>
      </w:pPr>
      <w:r w:rsidRPr="00B519BD">
        <w:rPr>
          <w:color w:val="000000"/>
        </w:rPr>
        <w:t>PDSCH</w:t>
      </w:r>
      <w:r w:rsidR="003A150C">
        <w:rPr>
          <w:color w:val="000000"/>
        </w:rPr>
        <w:t>/PUSCH</w:t>
      </w:r>
      <w:r w:rsidRPr="00B519BD">
        <w:rPr>
          <w:color w:val="000000"/>
        </w:rPr>
        <w:t xml:space="preserve"> mapping type (it Type A or B which defines the DMRS location)</w:t>
      </w:r>
    </w:p>
    <w:p w14:paraId="383C8839" w14:textId="39C460DD" w:rsidR="00F02BB1" w:rsidRPr="00B519BD" w:rsidRDefault="00F02BB1" w:rsidP="00B519BD">
      <w:r w:rsidRPr="00B519BD">
        <w:t>Given that, the NR provides the means to schedule transmissions shorter than a slot duration, and to start transmissions are any symbol within the slot.  However, for Rel-15</w:t>
      </w:r>
      <w:r w:rsidR="005C0D23" w:rsidRPr="00B519BD">
        <w:t xml:space="preserve"> </w:t>
      </w:r>
      <w:r w:rsidR="004871C2">
        <w:t xml:space="preserve">NR, </w:t>
      </w:r>
      <w:r w:rsidR="005C0D23" w:rsidRPr="00B519BD">
        <w:t>the following restrictions w</w:t>
      </w:r>
      <w:r w:rsidRPr="00B519BD">
        <w:t xml:space="preserve">ere made: </w:t>
      </w:r>
    </w:p>
    <w:p w14:paraId="78728F4D" w14:textId="14821E90" w:rsidR="00F02BB1" w:rsidRPr="00B519BD" w:rsidRDefault="005C0D23" w:rsidP="00B519BD">
      <w:pPr>
        <w:pStyle w:val="BodyText"/>
        <w:numPr>
          <w:ilvl w:val="0"/>
          <w:numId w:val="21"/>
        </w:numPr>
        <w:rPr>
          <w:color w:val="000000"/>
        </w:rPr>
      </w:pPr>
      <w:r w:rsidRPr="00B519BD">
        <w:rPr>
          <w:color w:val="000000"/>
        </w:rPr>
        <w:t>The maximum number of CORESETs per BWP per cell is 3, meaning that the maximum starting points within a slot are 3.</w:t>
      </w:r>
    </w:p>
    <w:p w14:paraId="4F9C77DA" w14:textId="25B6100D" w:rsidR="00E87612" w:rsidRPr="00B519BD" w:rsidRDefault="00F4700D" w:rsidP="00B519BD">
      <w:pPr>
        <w:pStyle w:val="BodyText"/>
        <w:numPr>
          <w:ilvl w:val="0"/>
          <w:numId w:val="21"/>
        </w:numPr>
        <w:rPr>
          <w:color w:val="000000"/>
        </w:rPr>
      </w:pPr>
      <w:r w:rsidRPr="00B519BD">
        <w:rPr>
          <w:color w:val="000000"/>
        </w:rPr>
        <w:t>PDSCH</w:t>
      </w:r>
      <w:r w:rsidR="003A150C">
        <w:rPr>
          <w:color w:val="000000"/>
        </w:rPr>
        <w:t>/PUSCH</w:t>
      </w:r>
      <w:r w:rsidRPr="00B519BD">
        <w:rPr>
          <w:color w:val="000000"/>
        </w:rPr>
        <w:t xml:space="preserve"> duration limited to 2, 4, and 7 symbols beside the full slot transmission.</w:t>
      </w:r>
    </w:p>
    <w:p w14:paraId="35733083" w14:textId="45BD40B8" w:rsidR="00E87612" w:rsidRPr="00B519BD" w:rsidRDefault="00E87612" w:rsidP="00B519BD">
      <w:r>
        <w:t xml:space="preserve">Even with limited starting points, given the larger subcarrier spacings, NR-U can still achieve fine channel access granularity. </w:t>
      </w:r>
    </w:p>
    <w:p w14:paraId="461D78C3" w14:textId="62AD6070" w:rsidR="00F4700D" w:rsidRPr="00B519BD" w:rsidRDefault="00F4700D" w:rsidP="00B519BD">
      <w:pPr>
        <w:pStyle w:val="Proposal"/>
        <w:tabs>
          <w:tab w:val="clear" w:pos="1304"/>
        </w:tabs>
        <w:ind w:left="1701" w:hanging="1701"/>
      </w:pPr>
      <w:r>
        <w:t>NR-U</w:t>
      </w:r>
      <w:r w:rsidR="00F351BB">
        <w:t xml:space="preserve"> </w:t>
      </w:r>
      <w:r w:rsidR="00E9269D">
        <w:t>should support</w:t>
      </w:r>
      <w:r w:rsidR="00F351BB">
        <w:t xml:space="preserve"> non-slot based scheduling</w:t>
      </w:r>
      <w:r w:rsidR="00E9269D">
        <w:t>.</w:t>
      </w:r>
    </w:p>
    <w:p w14:paraId="7E5FEF17" w14:textId="77777777" w:rsidR="00604A1C" w:rsidRPr="00F36AC9" w:rsidRDefault="00F3054B" w:rsidP="00F36AC9">
      <w:pPr>
        <w:pStyle w:val="Heading2"/>
      </w:pPr>
      <w:r w:rsidRPr="00F36AC9">
        <w:t>Dynamic subframe structure</w:t>
      </w:r>
    </w:p>
    <w:p w14:paraId="67A1B390" w14:textId="0D8505ED" w:rsidR="00A55B7E" w:rsidRDefault="00A55B7E" w:rsidP="00A55B7E">
      <w:pPr>
        <w:pStyle w:val="Proposal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>Fast HARQ feedback can be transmitted immediately after the received burst in both DL and UL. Thereby, the transmission direction may be switched multiple time</w:t>
      </w:r>
      <w:r w:rsidR="00F12351">
        <w:rPr>
          <w:b w:val="0"/>
          <w:bCs w:val="0"/>
        </w:rPr>
        <w:t>s</w:t>
      </w:r>
      <w:r>
        <w:rPr>
          <w:b w:val="0"/>
          <w:bCs w:val="0"/>
        </w:rPr>
        <w:t xml:space="preserve"> within one transmit opportunity. </w:t>
      </w:r>
      <w:r w:rsidR="00F31424">
        <w:rPr>
          <w:b w:val="0"/>
          <w:bCs w:val="0"/>
        </w:rPr>
        <w:t>T</w:t>
      </w:r>
      <w:r w:rsidR="002835F2">
        <w:rPr>
          <w:b w:val="0"/>
          <w:bCs w:val="0"/>
        </w:rPr>
        <w:t>he later also motivate</w:t>
      </w:r>
      <w:r w:rsidR="00F31424">
        <w:rPr>
          <w:b w:val="0"/>
          <w:bCs w:val="0"/>
        </w:rPr>
        <w:t>s</w:t>
      </w:r>
      <w:r w:rsidR="002835F2">
        <w:rPr>
          <w:b w:val="0"/>
          <w:bCs w:val="0"/>
        </w:rPr>
        <w:t xml:space="preserve"> that</w:t>
      </w:r>
      <w:r w:rsidRPr="003F77AD">
        <w:rPr>
          <w:b w:val="0"/>
          <w:bCs w:val="0"/>
        </w:rPr>
        <w:t xml:space="preserve"> NR-U </w:t>
      </w:r>
      <w:r>
        <w:rPr>
          <w:b w:val="0"/>
          <w:bCs w:val="0"/>
        </w:rPr>
        <w:t>should support multiple switch point</w:t>
      </w:r>
      <w:r w:rsidR="00F31424">
        <w:rPr>
          <w:b w:val="0"/>
          <w:bCs w:val="0"/>
        </w:rPr>
        <w:t>s</w:t>
      </w:r>
      <w:r>
        <w:rPr>
          <w:b w:val="0"/>
          <w:bCs w:val="0"/>
        </w:rPr>
        <w:t xml:space="preserve"> </w:t>
      </w:r>
      <w:r w:rsidRPr="003F77AD">
        <w:rPr>
          <w:b w:val="0"/>
          <w:bCs w:val="0"/>
        </w:rPr>
        <w:t>within a transmit opportunity.</w:t>
      </w:r>
      <w:r w:rsidR="005435CF">
        <w:rPr>
          <w:b w:val="0"/>
          <w:bCs w:val="0"/>
        </w:rPr>
        <w:t xml:space="preserve"> Depending on the traffic (data or control), a short or no LBT may be used upon every change of direction within a transmit opportunity. </w:t>
      </w:r>
    </w:p>
    <w:p w14:paraId="24425539" w14:textId="2E1818BF" w:rsidR="00816D40" w:rsidRDefault="00F3054B" w:rsidP="00047BD0">
      <w:pPr>
        <w:pStyle w:val="Proposal"/>
      </w:pPr>
      <w:r w:rsidRPr="005435CF">
        <w:t xml:space="preserve">NR-U should support multiple gaps and switching back and forth between DL and UL directions </w:t>
      </w:r>
      <w:r w:rsidR="003F32CA" w:rsidRPr="005435CF">
        <w:t xml:space="preserve">within a </w:t>
      </w:r>
      <w:r w:rsidR="00711DBA">
        <w:t>COT.</w:t>
      </w:r>
    </w:p>
    <w:p w14:paraId="1FCC2062" w14:textId="790644AC" w:rsidR="00816D40" w:rsidRDefault="00816D40" w:rsidP="00816D40">
      <w:pPr>
        <w:pStyle w:val="Heading2"/>
      </w:pPr>
      <w:r>
        <w:t>Numerology for NR-U</w:t>
      </w:r>
    </w:p>
    <w:p w14:paraId="60028305" w14:textId="77777777" w:rsidR="00F913A4" w:rsidRDefault="00F913A4" w:rsidP="00F913A4">
      <w:pPr>
        <w:pStyle w:val="BodyText"/>
      </w:pPr>
      <w:r>
        <w:t xml:space="preserve">In </w:t>
      </w:r>
      <w:r>
        <w:rPr>
          <w:highlight w:val="yellow"/>
        </w:rPr>
        <w:fldChar w:fldCharType="begin"/>
      </w:r>
      <w:r>
        <w:instrText xml:space="preserve"> REF _Ref506538354 \r \h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>
        <w:t>[2]</w:t>
      </w:r>
      <w:r>
        <w:rPr>
          <w:highlight w:val="yellow"/>
        </w:rPr>
        <w:fldChar w:fldCharType="end"/>
      </w:r>
      <w:r>
        <w:t xml:space="preserve"> we provide an extended discussion on OFDM numerology design to operate NR in unlicensed spectrum.</w:t>
      </w:r>
    </w:p>
    <w:p w14:paraId="5B6943D6" w14:textId="3259AD19" w:rsidR="00F913A4" w:rsidRDefault="00F913A4" w:rsidP="00F913A4">
      <w:pPr>
        <w:pStyle w:val="BodyText"/>
      </w:pPr>
      <w:r>
        <w:t>To summarize, the transmission granularity and latency can be reduced if 30 kHz and 60 kHz subcarrier spacing are used as numerology candidates for NR in unlicensed spectrum for 5/6 GHz. 60KHz subcarrier spacing will enable 4 times higher channel access granularity as compared to LAA.</w:t>
      </w:r>
      <w:r w:rsidR="00047BD0">
        <w:t xml:space="preserve"> </w:t>
      </w:r>
      <w:r>
        <w:t xml:space="preserve">However, it will require some changes to support 60KHz for all types of signals for below 6GHz spectrum. </w:t>
      </w:r>
    </w:p>
    <w:p w14:paraId="705C4D98" w14:textId="77777777" w:rsidR="00F913A4" w:rsidRPr="00F913A4" w:rsidRDefault="00F913A4" w:rsidP="00F913A4">
      <w:pPr>
        <w:pStyle w:val="Proposal"/>
        <w:tabs>
          <w:tab w:val="clear" w:pos="1304"/>
        </w:tabs>
        <w:ind w:left="1701" w:hanging="1701"/>
      </w:pPr>
      <w:r w:rsidRPr="00F913A4">
        <w:t>30 kHz subcarrier spacing is supported for NR unlicensed @ 5 GHz and 6GHz.</w:t>
      </w:r>
    </w:p>
    <w:p w14:paraId="2019ACCB" w14:textId="77777777" w:rsidR="00F913A4" w:rsidRPr="00F913A4" w:rsidRDefault="00F913A4" w:rsidP="00F913A4">
      <w:pPr>
        <w:pStyle w:val="Proposal"/>
        <w:tabs>
          <w:tab w:val="clear" w:pos="1304"/>
        </w:tabs>
        <w:ind w:left="1701" w:hanging="1701"/>
      </w:pPr>
      <w:r w:rsidRPr="00F913A4">
        <w:t>Further study the required changes to enable the support of 60KHz subcarrier spacing for NR unlicensed @ 5 GHz and 6GHz.</w:t>
      </w:r>
    </w:p>
    <w:p w14:paraId="1406A2DE" w14:textId="77777777" w:rsidR="00F913A4" w:rsidRDefault="00F913A4" w:rsidP="00F913A4">
      <w:pPr>
        <w:pStyle w:val="BodyText"/>
      </w:pPr>
      <w:r w:rsidRPr="003E6497">
        <w:t xml:space="preserve">NR Rel-15 focused on frequencies up to 40GHz, and therefore further studies are needed to </w:t>
      </w:r>
      <w:r>
        <w:t>determine a</w:t>
      </w:r>
      <w:r w:rsidRPr="003E6497">
        <w:t xml:space="preserve"> suitable subcarrier spacing for 60GHz band. </w:t>
      </w:r>
      <w:r>
        <w:t>W</w:t>
      </w:r>
      <w:r w:rsidRPr="003E6497">
        <w:t>e consider it appropriate to consider such studies</w:t>
      </w:r>
      <w:r>
        <w:t xml:space="preserve"> in tandem to studies that may include potential enhancements to channel access mechanisms, after the general discussion for lower bands, e.g., 5 GHz, 6 GHz is complete.</w:t>
      </w:r>
    </w:p>
    <w:p w14:paraId="00857D50" w14:textId="77777777" w:rsidR="00F913A4" w:rsidRPr="00F913A4" w:rsidRDefault="00F913A4" w:rsidP="00047BD0"/>
    <w:p w14:paraId="75031DAD" w14:textId="77777777" w:rsidR="00816D40" w:rsidRDefault="00816D40" w:rsidP="00816D40">
      <w:pPr>
        <w:pStyle w:val="Heading2"/>
      </w:pPr>
      <w:r>
        <w:lastRenderedPageBreak/>
        <w:t>Wideband operation</w:t>
      </w:r>
    </w:p>
    <w:p w14:paraId="13965A08" w14:textId="1F1A6A95" w:rsidR="00816D40" w:rsidRDefault="00816D40" w:rsidP="00816D40">
      <w:pPr>
        <w:rPr>
          <w:rFonts w:cs="Arial"/>
        </w:rPr>
      </w:pPr>
      <w:r w:rsidRPr="00F77360">
        <w:rPr>
          <w:rFonts w:cs="Arial"/>
        </w:rPr>
        <w:t xml:space="preserve">Similar to NR, it is expected that NR-U will support transmissions with wide bandwidth, e.g., up to </w:t>
      </w:r>
      <w:r>
        <w:rPr>
          <w:rFonts w:cs="Arial"/>
        </w:rPr>
        <w:t>several hundreds</w:t>
      </w:r>
      <w:r w:rsidR="00047BD0">
        <w:rPr>
          <w:rFonts w:cs="Arial"/>
        </w:rPr>
        <w:t xml:space="preserve"> of</w:t>
      </w:r>
      <w:r>
        <w:rPr>
          <w:rFonts w:cs="Arial"/>
        </w:rPr>
        <w:t xml:space="preserve"> MHz bandwidth</w:t>
      </w:r>
      <w:r w:rsidRPr="00F77360">
        <w:rPr>
          <w:rFonts w:cs="Arial"/>
        </w:rPr>
        <w:t>.</w:t>
      </w:r>
      <w:r>
        <w:rPr>
          <w:rFonts w:cs="Arial"/>
        </w:rPr>
        <w:t xml:space="preserve"> </w:t>
      </w:r>
      <w:r w:rsidRPr="00F77360">
        <w:rPr>
          <w:rFonts w:cs="Arial"/>
        </w:rPr>
        <w:t xml:space="preserve">However, there could be different radio technologies with different device’s capabilities that simultaneously share the same spectrum. It will be unlikely that a device will sense the channel free over the whole </w:t>
      </w:r>
      <w:r>
        <w:rPr>
          <w:rFonts w:cs="Arial"/>
        </w:rPr>
        <w:t>wide</w:t>
      </w:r>
      <w:r w:rsidRPr="00F77360">
        <w:rPr>
          <w:rFonts w:cs="Arial"/>
        </w:rPr>
        <w:t xml:space="preserve"> ban</w:t>
      </w:r>
      <w:r w:rsidRPr="00047BD0">
        <w:rPr>
          <w:rFonts w:cs="Arial"/>
        </w:rPr>
        <w:t>dwidth</w:t>
      </w:r>
      <w:r w:rsidR="00047BD0" w:rsidRPr="00047BD0">
        <w:rPr>
          <w:rFonts w:cs="Arial"/>
        </w:rPr>
        <w:t xml:space="preserve">, </w:t>
      </w:r>
      <w:r w:rsidRPr="00047BD0">
        <w:rPr>
          <w:rFonts w:cs="Arial"/>
        </w:rPr>
        <w:t>especially</w:t>
      </w:r>
      <w:r w:rsidRPr="00F77360">
        <w:rPr>
          <w:rFonts w:cs="Arial"/>
        </w:rPr>
        <w:t xml:space="preserve"> at high load. Thus, it is beneficial for NR-U to support transmissions with</w:t>
      </w:r>
      <w:r>
        <w:rPr>
          <w:rFonts w:cs="Arial"/>
        </w:rPr>
        <w:t xml:space="preserve"> dynamic</w:t>
      </w:r>
      <w:r w:rsidRPr="00F77360">
        <w:rPr>
          <w:rFonts w:cs="Arial"/>
        </w:rPr>
        <w:t xml:space="preserve"> bandwidth, in which the </w:t>
      </w:r>
      <w:r>
        <w:rPr>
          <w:rFonts w:cs="Arial"/>
        </w:rPr>
        <w:t>device</w:t>
      </w:r>
      <w:r w:rsidRPr="00F77360">
        <w:rPr>
          <w:rFonts w:cs="Arial"/>
        </w:rPr>
        <w:t xml:space="preserve"> can decide which part(s) of the </w:t>
      </w:r>
      <w:r>
        <w:rPr>
          <w:rFonts w:cs="Arial"/>
        </w:rPr>
        <w:t xml:space="preserve">supported </w:t>
      </w:r>
      <w:r w:rsidRPr="00F77360">
        <w:rPr>
          <w:rFonts w:cs="Arial"/>
        </w:rPr>
        <w:t xml:space="preserve">bandwidth to use based on </w:t>
      </w:r>
      <w:r w:rsidR="0026474D">
        <w:rPr>
          <w:rFonts w:cs="Arial"/>
        </w:rPr>
        <w:t>its</w:t>
      </w:r>
      <w:r w:rsidRPr="00F77360">
        <w:rPr>
          <w:rFonts w:cs="Arial"/>
        </w:rPr>
        <w:t xml:space="preserve"> LBT outcome.</w:t>
      </w:r>
    </w:p>
    <w:p w14:paraId="0A0892D7" w14:textId="3CFA1CA0" w:rsidR="00816D40" w:rsidRDefault="00493C1C" w:rsidP="00816D40">
      <w:pPr>
        <w:rPr>
          <w:rFonts w:cs="Arial"/>
        </w:rPr>
      </w:pPr>
      <w:r>
        <w:t>T</w:t>
      </w:r>
      <w:r w:rsidR="00816D40">
        <w:t>here are two</w:t>
      </w:r>
      <w:r>
        <w:t xml:space="preserve"> common</w:t>
      </w:r>
      <w:r w:rsidR="00816D40">
        <w:t xml:space="preserve"> </w:t>
      </w:r>
      <w:r>
        <w:t>approaches</w:t>
      </w:r>
      <w:r w:rsidR="00816D40">
        <w:t xml:space="preserve"> for the device to use</w:t>
      </w:r>
      <w:r w:rsidR="006A64EF">
        <w:t xml:space="preserve"> in</w:t>
      </w:r>
      <w:r w:rsidR="00816D40">
        <w:t xml:space="preserve"> wideband transmissions: carrier aggregation (CA) and single carrier wideband transmissions. In CA transmissions (similar to LTE-base</w:t>
      </w:r>
      <w:r>
        <w:t>d</w:t>
      </w:r>
      <w:r w:rsidR="00816D40">
        <w:t xml:space="preserve"> LAA), the device performs LBT per small BWP</w:t>
      </w:r>
      <w:r w:rsidR="00816D40" w:rsidRPr="00F77360">
        <w:rPr>
          <w:rFonts w:cs="Arial"/>
        </w:rPr>
        <w:t>, e.g., 20MHz</w:t>
      </w:r>
      <w:r w:rsidR="00816D40">
        <w:rPr>
          <w:rFonts w:cs="Arial"/>
        </w:rPr>
        <w:t xml:space="preserve">, then treating each free small BWP as a component carrier (CC) for the </w:t>
      </w:r>
      <w:r w:rsidR="00816D40">
        <w:t xml:space="preserve">transmissions. In single carrier wideband transmissions, </w:t>
      </w:r>
      <w:r w:rsidR="00D81BA4">
        <w:t>the</w:t>
      </w:r>
      <w:r w:rsidR="00816D40">
        <w:t xml:space="preserve"> device treats </w:t>
      </w:r>
      <w:r w:rsidR="00816D40">
        <w:rPr>
          <w:rFonts w:cs="Arial"/>
        </w:rPr>
        <w:t>free small BWP(s) as a single (wider) BWP or single CC. Figure 1 shows an example for the wideband operations using</w:t>
      </w:r>
      <w:r w:rsidR="00816D40">
        <w:t xml:space="preserve"> CA and single carrier wideband transmissions</w:t>
      </w:r>
      <w:r w:rsidR="00816D40">
        <w:rPr>
          <w:rFonts w:cs="Arial"/>
        </w:rPr>
        <w:t xml:space="preserve"> with 80 MHz supported bandwidth. Different UEs may transmit with different bandwidth</w:t>
      </w:r>
      <w:r w:rsidR="00307418">
        <w:rPr>
          <w:rFonts w:cs="Arial"/>
        </w:rPr>
        <w:t xml:space="preserve"> sizes</w:t>
      </w:r>
      <w:r w:rsidR="00816D40">
        <w:rPr>
          <w:rFonts w:cs="Arial"/>
        </w:rPr>
        <w:t xml:space="preserve"> </w:t>
      </w:r>
      <w:r w:rsidR="00720AF6">
        <w:rPr>
          <w:rFonts w:cs="Arial"/>
        </w:rPr>
        <w:t>depended on</w:t>
      </w:r>
      <w:r w:rsidR="00816D40">
        <w:rPr>
          <w:rFonts w:cs="Arial"/>
        </w:rPr>
        <w:t xml:space="preserve"> their LBT’s outcomes.    </w:t>
      </w:r>
    </w:p>
    <w:p w14:paraId="05F602D9" w14:textId="77777777" w:rsidR="00816D40" w:rsidRDefault="00816D40" w:rsidP="00816D40">
      <w:pPr>
        <w:rPr>
          <w:rFonts w:cs="Arial"/>
        </w:rPr>
      </w:pPr>
      <w:r>
        <w:t xml:space="preserve">   </w:t>
      </w:r>
      <w:r>
        <w:rPr>
          <w:rFonts w:cs="Arial"/>
        </w:rPr>
        <w:t xml:space="preserve">   </w:t>
      </w:r>
      <w:r>
        <w:rPr>
          <w:rFonts w:cs="Arial"/>
          <w:noProof/>
        </w:rPr>
        <w:drawing>
          <wp:inline distT="0" distB="0" distL="0" distR="0" wp14:anchorId="72695906" wp14:editId="4E892D38">
            <wp:extent cx="5993106" cy="26289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6981" cy="26349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D7EFE9" w14:textId="77777777" w:rsidR="00816D40" w:rsidRDefault="00816D40" w:rsidP="00816D40">
      <w:pPr>
        <w:jc w:val="center"/>
      </w:pPr>
      <w:r>
        <w:t>Figure 1 - CA and single carrier wideband transmissions.</w:t>
      </w:r>
    </w:p>
    <w:p w14:paraId="7C1B9682" w14:textId="60B969CF" w:rsidR="00816D40" w:rsidRDefault="00816D40" w:rsidP="00816D40">
      <w:pPr>
        <w:jc w:val="left"/>
      </w:pPr>
      <w:r>
        <w:t xml:space="preserve">In general, CA transmissions </w:t>
      </w:r>
      <w:r w:rsidR="00B97C1B">
        <w:t>have</w:t>
      </w:r>
      <w:r>
        <w:t xml:space="preserve"> </w:t>
      </w:r>
      <w:r w:rsidR="00B8293F">
        <w:t>less</w:t>
      </w:r>
      <w:r w:rsidR="00B97C1B">
        <w:t xml:space="preserve"> </w:t>
      </w:r>
      <w:r w:rsidR="00493C1C">
        <w:t>standard impact (using LTE-based LAA as baseline)</w:t>
      </w:r>
      <w:r>
        <w:t xml:space="preserve"> and</w:t>
      </w:r>
      <w:r w:rsidR="00B97C1B">
        <w:t xml:space="preserve"> require</w:t>
      </w:r>
      <w:r>
        <w:t xml:space="preserve"> </w:t>
      </w:r>
      <w:r w:rsidR="00A6011E">
        <w:t xml:space="preserve">less </w:t>
      </w:r>
      <w:r w:rsidR="00C53F4D">
        <w:t xml:space="preserve">stringent </w:t>
      </w:r>
      <w:r w:rsidR="00A6011E">
        <w:t>processing</w:t>
      </w:r>
      <w:r>
        <w:t xml:space="preserve"> </w:t>
      </w:r>
      <w:r w:rsidR="00C53F4D">
        <w:t>requirements</w:t>
      </w:r>
      <w:r>
        <w:t xml:space="preserve"> since the transport blocks can be prepared independently per CC in advance (before LBT). Moreover, the CA transmitting approach is flexible and can be eas</w:t>
      </w:r>
      <w:r w:rsidR="00DB420A">
        <w:t>ier</w:t>
      </w:r>
      <w:r>
        <w:t xml:space="preserve"> to adopt for transmissions with non-contiguous BWPs. However, the single carrier wideband transmitting approach also has its </w:t>
      </w:r>
      <w:r w:rsidR="00CF355A">
        <w:t xml:space="preserve">own </w:t>
      </w:r>
      <w:r>
        <w:t>advantage in term of</w:t>
      </w:r>
      <w:r w:rsidR="00C66210">
        <w:t xml:space="preserve"> </w:t>
      </w:r>
      <w:r w:rsidR="00493C1C">
        <w:t xml:space="preserve">improving </w:t>
      </w:r>
      <w:r w:rsidR="00E90394">
        <w:t xml:space="preserve">the </w:t>
      </w:r>
      <w:r w:rsidR="00C66210">
        <w:t>spectral efficiency by</w:t>
      </w:r>
      <w:r>
        <w:t xml:space="preserve"> exploiting the guard-band(s) between contiguous BWPs.   </w:t>
      </w:r>
    </w:p>
    <w:p w14:paraId="4969E366" w14:textId="77777777" w:rsidR="00816D40" w:rsidRPr="002E34C2" w:rsidRDefault="00816D40" w:rsidP="00816D40">
      <w:r>
        <w:t xml:space="preserve">  </w:t>
      </w:r>
    </w:p>
    <w:p w14:paraId="7E45A8BA" w14:textId="77777777" w:rsidR="00816D40" w:rsidRDefault="00816D40" w:rsidP="00816D40">
      <w:pPr>
        <w:pStyle w:val="Proposal"/>
      </w:pPr>
      <w:r w:rsidRPr="005435CF">
        <w:t xml:space="preserve">NR-U should support </w:t>
      </w:r>
      <w:r>
        <w:t>CA transmissions for wideband operations.</w:t>
      </w:r>
    </w:p>
    <w:p w14:paraId="5166DE42" w14:textId="77777777" w:rsidR="00816D40" w:rsidRDefault="00816D40" w:rsidP="00816D40">
      <w:pPr>
        <w:pStyle w:val="Proposal"/>
      </w:pPr>
      <w:r>
        <w:t>Further study single carrier wideband transmissions for wideband operations.</w:t>
      </w:r>
    </w:p>
    <w:p w14:paraId="77AE3E0D" w14:textId="77777777" w:rsidR="00816D40" w:rsidRPr="00242626" w:rsidRDefault="00816D40" w:rsidP="00816D40">
      <w:pPr>
        <w:pStyle w:val="Proposal"/>
        <w:numPr>
          <w:ilvl w:val="0"/>
          <w:numId w:val="0"/>
        </w:numPr>
      </w:pPr>
    </w:p>
    <w:p w14:paraId="26E3A80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0CC4F1F" w14:textId="2B1577DD" w:rsidR="00311702" w:rsidRDefault="00DA243C" w:rsidP="00AB0BC8">
      <w:r>
        <w:t xml:space="preserve">In this contribution, we discuss NR-U frame structure. The following observations and proposals were made: </w:t>
      </w:r>
    </w:p>
    <w:p w14:paraId="71A41DFE" w14:textId="77777777" w:rsidR="00DA243C" w:rsidRPr="00CE0424" w:rsidRDefault="00DA243C" w:rsidP="00AB0BC8"/>
    <w:p w14:paraId="13CCBDBC" w14:textId="6CD31968" w:rsidR="002C7218" w:rsidRDefault="002C7218" w:rsidP="002C7218">
      <w:pPr>
        <w:pStyle w:val="Observation"/>
        <w:numPr>
          <w:ilvl w:val="0"/>
          <w:numId w:val="37"/>
        </w:numPr>
      </w:pPr>
      <w:bookmarkStart w:id="1" w:name="_In-sequence_SDU_delivery"/>
      <w:bookmarkEnd w:id="1"/>
      <w:r>
        <w:t xml:space="preserve">Both Dynamic TDD and TDD with semi-statically configured UL/DL configuration are beneficial for NR-U operation. </w:t>
      </w:r>
    </w:p>
    <w:p w14:paraId="3FC096F5" w14:textId="77777777" w:rsidR="002C7218" w:rsidRDefault="002C7218" w:rsidP="002C7218">
      <w:pPr>
        <w:pStyle w:val="Observation"/>
      </w:pPr>
      <w:r>
        <w:t>Mini-slot enhances NR-U channel access by enabling access to the channel at a much finer granularity</w:t>
      </w:r>
    </w:p>
    <w:p w14:paraId="7982A7FC" w14:textId="77777777" w:rsidR="002C7218" w:rsidRDefault="002C7218" w:rsidP="002C7218">
      <w:pPr>
        <w:pStyle w:val="Observation"/>
        <w:numPr>
          <w:ilvl w:val="0"/>
          <w:numId w:val="0"/>
        </w:numPr>
      </w:pPr>
    </w:p>
    <w:p w14:paraId="30978B06" w14:textId="5971575E" w:rsidR="002C7218" w:rsidRDefault="002C7218" w:rsidP="002C7218">
      <w:pPr>
        <w:pStyle w:val="Proposal"/>
        <w:numPr>
          <w:ilvl w:val="0"/>
          <w:numId w:val="38"/>
        </w:numPr>
        <w:tabs>
          <w:tab w:val="clear" w:pos="1304"/>
        </w:tabs>
      </w:pPr>
      <w:r>
        <w:t>NR-U should support both dynamic and semi-static DL/UL configurations.</w:t>
      </w:r>
    </w:p>
    <w:p w14:paraId="41401883" w14:textId="77777777" w:rsidR="002C7218" w:rsidRPr="00B519BD" w:rsidRDefault="002C7218" w:rsidP="002C7218">
      <w:pPr>
        <w:pStyle w:val="Proposal"/>
        <w:tabs>
          <w:tab w:val="clear" w:pos="1304"/>
        </w:tabs>
        <w:ind w:left="1701" w:hanging="1701"/>
      </w:pPr>
      <w:r>
        <w:t>NR-U should support non-slot based scheduling.</w:t>
      </w:r>
    </w:p>
    <w:p w14:paraId="6C319E77" w14:textId="75E1BE8E" w:rsidR="002C7218" w:rsidRDefault="002C7218" w:rsidP="002C7218">
      <w:pPr>
        <w:pStyle w:val="Proposal"/>
      </w:pPr>
      <w:r w:rsidRPr="005435CF">
        <w:t xml:space="preserve">NR-U should support multiple gaps and switching back and forth between DL and UL directions within a </w:t>
      </w:r>
      <w:r>
        <w:t>COT.</w:t>
      </w:r>
    </w:p>
    <w:p w14:paraId="58B50C27" w14:textId="77777777" w:rsidR="00A6011E" w:rsidRPr="00F913A4" w:rsidRDefault="00A6011E" w:rsidP="00A6011E">
      <w:pPr>
        <w:pStyle w:val="Proposal"/>
        <w:tabs>
          <w:tab w:val="clear" w:pos="1304"/>
        </w:tabs>
        <w:ind w:left="1701" w:hanging="1701"/>
      </w:pPr>
      <w:r w:rsidRPr="00F913A4">
        <w:t>30 kHz subcarrier spacing is supported for NR unlicensed @ 5 GHz and 6GHz.</w:t>
      </w:r>
    </w:p>
    <w:p w14:paraId="34A01E7E" w14:textId="77777777" w:rsidR="00A6011E" w:rsidRPr="00F913A4" w:rsidRDefault="00A6011E" w:rsidP="00A6011E">
      <w:pPr>
        <w:pStyle w:val="Proposal"/>
        <w:tabs>
          <w:tab w:val="clear" w:pos="1304"/>
        </w:tabs>
        <w:ind w:left="1701" w:hanging="1701"/>
      </w:pPr>
      <w:r w:rsidRPr="00F913A4">
        <w:t>Further study the required changes to enable the support of 60KHz subcarrier spacing for NR unlicensed @ 5 GHz and 6GHz.</w:t>
      </w:r>
    </w:p>
    <w:p w14:paraId="772A3DD6" w14:textId="77777777" w:rsidR="00A6011E" w:rsidRDefault="00A6011E" w:rsidP="00A6011E">
      <w:pPr>
        <w:pStyle w:val="Proposal"/>
      </w:pPr>
      <w:r w:rsidRPr="005435CF">
        <w:t xml:space="preserve">NR-U should support </w:t>
      </w:r>
      <w:r>
        <w:t>CA transmissions for wideband operations.</w:t>
      </w:r>
    </w:p>
    <w:p w14:paraId="705845D8" w14:textId="2A863B71" w:rsidR="00A6011E" w:rsidRDefault="00A6011E" w:rsidP="00A6011E">
      <w:pPr>
        <w:pStyle w:val="Proposal"/>
      </w:pPr>
      <w:r>
        <w:t>Further study single carrier wideband transmissions for wideband operations.</w:t>
      </w:r>
    </w:p>
    <w:p w14:paraId="647DF919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3DA76A29" w14:textId="63A67A33" w:rsidR="002C7218" w:rsidRPr="00047BD0" w:rsidRDefault="002C7218" w:rsidP="002C7218">
      <w:pPr>
        <w:pStyle w:val="Reference"/>
        <w:numPr>
          <w:ilvl w:val="0"/>
          <w:numId w:val="39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Theme="minorHAnsi" w:hAnsiTheme="minorHAnsi"/>
          <w:lang w:val="en-US" w:eastAsia="en-US"/>
        </w:rPr>
      </w:pPr>
      <w:bookmarkStart w:id="2" w:name="_Ref505697448"/>
      <w:bookmarkStart w:id="3" w:name="_Ref174151459"/>
      <w:bookmarkStart w:id="4" w:name="_Ref189809556"/>
      <w:r>
        <w:rPr>
          <w:bCs/>
        </w:rPr>
        <w:t>RP-171416, Revision of Study on NR-based Access to Unlicensed Spectrum, RAN1 #76, Jun. 2017.</w:t>
      </w:r>
      <w:bookmarkEnd w:id="2"/>
    </w:p>
    <w:p w14:paraId="573AC884" w14:textId="76975837" w:rsidR="003A7EF3" w:rsidRPr="00C53F4D" w:rsidRDefault="00047BD0" w:rsidP="00CE0424">
      <w:pPr>
        <w:pStyle w:val="BodyText"/>
        <w:rPr>
          <w:bCs/>
        </w:rPr>
      </w:pPr>
      <w:r w:rsidRPr="00C53F4D">
        <w:rPr>
          <w:bCs/>
        </w:rPr>
        <w:t xml:space="preserve">[2]  </w:t>
      </w:r>
      <w:r w:rsidRPr="00C53F4D">
        <w:rPr>
          <w:bCs/>
        </w:rPr>
        <w:tab/>
      </w:r>
      <w:r w:rsidR="00C53F4D" w:rsidRPr="00C53F4D">
        <w:rPr>
          <w:bCs/>
        </w:rPr>
        <w:t xml:space="preserve">R1-1805015, </w:t>
      </w:r>
      <w:r w:rsidR="00F913A4" w:rsidRPr="00C53F4D">
        <w:rPr>
          <w:bCs/>
        </w:rPr>
        <w:t>Numerology for NR operation in unlicensed spectrum, Ericsson, RAN1#92bis Sanya, China</w:t>
      </w:r>
      <w:bookmarkStart w:id="5" w:name="_GoBack"/>
      <w:bookmarkEnd w:id="3"/>
      <w:bookmarkEnd w:id="4"/>
      <w:bookmarkEnd w:id="5"/>
    </w:p>
    <w:sectPr w:rsidR="003A7EF3" w:rsidRPr="00C53F4D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C880E" w14:textId="77777777" w:rsidR="005D5369" w:rsidRDefault="005D5369">
      <w:r>
        <w:separator/>
      </w:r>
    </w:p>
  </w:endnote>
  <w:endnote w:type="continuationSeparator" w:id="0">
    <w:p w14:paraId="3A1E9199" w14:textId="77777777" w:rsidR="005D5369" w:rsidRDefault="005D5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9673A" w14:textId="09B21793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53F4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53F4D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60788C" w14:textId="77777777" w:rsidR="005D5369" w:rsidRDefault="005D5369">
      <w:r>
        <w:separator/>
      </w:r>
    </w:p>
  </w:footnote>
  <w:footnote w:type="continuationSeparator" w:id="0">
    <w:p w14:paraId="7D353AC3" w14:textId="77777777" w:rsidR="005D5369" w:rsidRDefault="005D5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4FD03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6531CA"/>
    <w:multiLevelType w:val="hybridMultilevel"/>
    <w:tmpl w:val="A1EC54AE"/>
    <w:lvl w:ilvl="0" w:tplc="2FD462C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A2A28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0E2B6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8E5B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4129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C562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4303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A29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5E94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A162FB"/>
    <w:multiLevelType w:val="hybridMultilevel"/>
    <w:tmpl w:val="144280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80B3C"/>
    <w:multiLevelType w:val="hybridMultilevel"/>
    <w:tmpl w:val="6A8A9088"/>
    <w:lvl w:ilvl="0" w:tplc="3B1886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CE831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5E4E1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E8A82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74CCE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3B209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806274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E7269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69069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7CBD2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EA88F2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744AA56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936FBF0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062FDD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AD80BCE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613F5"/>
    <w:multiLevelType w:val="hybridMultilevel"/>
    <w:tmpl w:val="BE705D2E"/>
    <w:lvl w:ilvl="0" w:tplc="28FCCDFC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4E2B37"/>
    <w:multiLevelType w:val="hybridMultilevel"/>
    <w:tmpl w:val="61DCD0AA"/>
    <w:lvl w:ilvl="0" w:tplc="2A4649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842497"/>
    <w:multiLevelType w:val="hybridMultilevel"/>
    <w:tmpl w:val="00BA15E6"/>
    <w:lvl w:ilvl="0" w:tplc="28FCCDFC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24EA1"/>
    <w:multiLevelType w:val="hybridMultilevel"/>
    <w:tmpl w:val="97DA1C28"/>
    <w:lvl w:ilvl="0" w:tplc="D0F6ED7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B4B5E"/>
    <w:multiLevelType w:val="hybridMultilevel"/>
    <w:tmpl w:val="33F46F10"/>
    <w:lvl w:ilvl="0" w:tplc="1C6E31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7EA43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9059E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9AF22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5E9FD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E16C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2087C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5ED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25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865BE6"/>
    <w:multiLevelType w:val="hybridMultilevel"/>
    <w:tmpl w:val="E9505DE4"/>
    <w:lvl w:ilvl="0" w:tplc="28FCCDFC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7097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346860"/>
    <w:multiLevelType w:val="hybridMultilevel"/>
    <w:tmpl w:val="3664E7CE"/>
    <w:lvl w:ilvl="0" w:tplc="D2D6D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96A11"/>
    <w:multiLevelType w:val="hybridMultilevel"/>
    <w:tmpl w:val="AB52EE8C"/>
    <w:lvl w:ilvl="0" w:tplc="36BC4D8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CC29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D869D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5A2B8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4139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AE9C4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F4160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6CA2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A6A1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1"/>
  </w:num>
  <w:num w:numId="3">
    <w:abstractNumId w:val="15"/>
  </w:num>
  <w:num w:numId="4">
    <w:abstractNumId w:val="16"/>
  </w:num>
  <w:num w:numId="5">
    <w:abstractNumId w:val="13"/>
  </w:num>
  <w:num w:numId="6">
    <w:abstractNumId w:val="18"/>
  </w:num>
  <w:num w:numId="7">
    <w:abstractNumId w:val="25"/>
  </w:num>
  <w:num w:numId="8">
    <w:abstractNumId w:val="14"/>
  </w:num>
  <w:num w:numId="9">
    <w:abstractNumId w:val="22"/>
  </w:num>
  <w:num w:numId="10">
    <w:abstractNumId w:val="8"/>
  </w:num>
  <w:num w:numId="11">
    <w:abstractNumId w:val="20"/>
  </w:num>
  <w:num w:numId="12">
    <w:abstractNumId w:val="17"/>
  </w:num>
  <w:num w:numId="13">
    <w:abstractNumId w:val="11"/>
  </w:num>
  <w:num w:numId="14">
    <w:abstractNumId w:val="12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8"/>
  </w:num>
  <w:num w:numId="20">
    <w:abstractNumId w:val="30"/>
  </w:num>
  <w:num w:numId="21">
    <w:abstractNumId w:val="9"/>
  </w:num>
  <w:num w:numId="22">
    <w:abstractNumId w:val="5"/>
  </w:num>
  <w:num w:numId="23">
    <w:abstractNumId w:val="24"/>
  </w:num>
  <w:num w:numId="24">
    <w:abstractNumId w:val="7"/>
  </w:num>
  <w:num w:numId="25">
    <w:abstractNumId w:val="15"/>
  </w:num>
  <w:num w:numId="26">
    <w:abstractNumId w:val="4"/>
  </w:num>
  <w:num w:numId="27">
    <w:abstractNumId w:val="29"/>
  </w:num>
  <w:num w:numId="28">
    <w:abstractNumId w:val="26"/>
  </w:num>
  <w:num w:numId="29">
    <w:abstractNumId w:val="10"/>
  </w:num>
  <w:num w:numId="30">
    <w:abstractNumId w:val="6"/>
  </w:num>
  <w:num w:numId="31">
    <w:abstractNumId w:val="6"/>
  </w:num>
  <w:num w:numId="32">
    <w:abstractNumId w:val="19"/>
  </w:num>
  <w:num w:numId="33">
    <w:abstractNumId w:val="22"/>
    <w:lvlOverride w:ilvl="0">
      <w:startOverride w:val="1"/>
    </w:lvlOverride>
  </w:num>
  <w:num w:numId="34">
    <w:abstractNumId w:val="15"/>
    <w:lvlOverride w:ilvl="0">
      <w:startOverride w:val="1"/>
    </w:lvlOverride>
  </w:num>
  <w:num w:numId="35">
    <w:abstractNumId w:val="22"/>
  </w:num>
  <w:num w:numId="36">
    <w:abstractNumId w:val="15"/>
  </w:num>
  <w:num w:numId="37">
    <w:abstractNumId w:val="22"/>
    <w:lvlOverride w:ilvl="0">
      <w:startOverride w:val="1"/>
    </w:lvlOverride>
  </w:num>
  <w:num w:numId="38">
    <w:abstractNumId w:val="15"/>
    <w:lvlOverride w:ilvl="0">
      <w:startOverride w:val="1"/>
    </w:lvlOverride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F4B"/>
    <w:rsid w:val="000006E1"/>
    <w:rsid w:val="00002A37"/>
    <w:rsid w:val="000039F4"/>
    <w:rsid w:val="0000621F"/>
    <w:rsid w:val="00006446"/>
    <w:rsid w:val="00006896"/>
    <w:rsid w:val="00007CDC"/>
    <w:rsid w:val="00011B28"/>
    <w:rsid w:val="00015D15"/>
    <w:rsid w:val="0002564D"/>
    <w:rsid w:val="00025ECA"/>
    <w:rsid w:val="000325B8"/>
    <w:rsid w:val="000339E1"/>
    <w:rsid w:val="00034C15"/>
    <w:rsid w:val="00036BA1"/>
    <w:rsid w:val="000422E2"/>
    <w:rsid w:val="00042F22"/>
    <w:rsid w:val="000444EF"/>
    <w:rsid w:val="00047BD0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904"/>
    <w:rsid w:val="000A1B7B"/>
    <w:rsid w:val="000A3088"/>
    <w:rsid w:val="000A56F2"/>
    <w:rsid w:val="000B2719"/>
    <w:rsid w:val="000B3A8F"/>
    <w:rsid w:val="000B4AB9"/>
    <w:rsid w:val="000B58C3"/>
    <w:rsid w:val="000B61E9"/>
    <w:rsid w:val="000B74F6"/>
    <w:rsid w:val="000C165A"/>
    <w:rsid w:val="000C2E19"/>
    <w:rsid w:val="000D04C7"/>
    <w:rsid w:val="000D0D07"/>
    <w:rsid w:val="000D423F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83D"/>
    <w:rsid w:val="00133892"/>
    <w:rsid w:val="001344C0"/>
    <w:rsid w:val="001346FA"/>
    <w:rsid w:val="00135252"/>
    <w:rsid w:val="001353BC"/>
    <w:rsid w:val="00135A45"/>
    <w:rsid w:val="00137AB5"/>
    <w:rsid w:val="00137F0B"/>
    <w:rsid w:val="00151E23"/>
    <w:rsid w:val="001526E0"/>
    <w:rsid w:val="001551B5"/>
    <w:rsid w:val="0015615D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3AB"/>
    <w:rsid w:val="001C3D2A"/>
    <w:rsid w:val="001D2DE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7F5"/>
    <w:rsid w:val="002148E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2626"/>
    <w:rsid w:val="002435B3"/>
    <w:rsid w:val="002458EB"/>
    <w:rsid w:val="0024599D"/>
    <w:rsid w:val="002500C8"/>
    <w:rsid w:val="00256492"/>
    <w:rsid w:val="00257543"/>
    <w:rsid w:val="002617E7"/>
    <w:rsid w:val="00264228"/>
    <w:rsid w:val="00264334"/>
    <w:rsid w:val="0026473E"/>
    <w:rsid w:val="0026474D"/>
    <w:rsid w:val="00266214"/>
    <w:rsid w:val="00267C83"/>
    <w:rsid w:val="0027144F"/>
    <w:rsid w:val="00271F3A"/>
    <w:rsid w:val="00273278"/>
    <w:rsid w:val="002737F4"/>
    <w:rsid w:val="00275844"/>
    <w:rsid w:val="002805F5"/>
    <w:rsid w:val="00280751"/>
    <w:rsid w:val="0028280A"/>
    <w:rsid w:val="002835F2"/>
    <w:rsid w:val="00286ACD"/>
    <w:rsid w:val="00287838"/>
    <w:rsid w:val="002907B5"/>
    <w:rsid w:val="00291F26"/>
    <w:rsid w:val="00292EB7"/>
    <w:rsid w:val="00296227"/>
    <w:rsid w:val="00296F44"/>
    <w:rsid w:val="0029777D"/>
    <w:rsid w:val="002A055E"/>
    <w:rsid w:val="002A1D4E"/>
    <w:rsid w:val="002A1F25"/>
    <w:rsid w:val="002A2869"/>
    <w:rsid w:val="002B24D6"/>
    <w:rsid w:val="002C41E6"/>
    <w:rsid w:val="002C5F4B"/>
    <w:rsid w:val="002C7218"/>
    <w:rsid w:val="002D0254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418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5BFB"/>
    <w:rsid w:val="00357380"/>
    <w:rsid w:val="003602D9"/>
    <w:rsid w:val="003604CE"/>
    <w:rsid w:val="00370E47"/>
    <w:rsid w:val="003742AC"/>
    <w:rsid w:val="00377CE1"/>
    <w:rsid w:val="00385BF0"/>
    <w:rsid w:val="00392D89"/>
    <w:rsid w:val="003939FF"/>
    <w:rsid w:val="003A150C"/>
    <w:rsid w:val="003A2223"/>
    <w:rsid w:val="003A2A0F"/>
    <w:rsid w:val="003A45A1"/>
    <w:rsid w:val="003A5B0A"/>
    <w:rsid w:val="003A6BAC"/>
    <w:rsid w:val="003A7EF3"/>
    <w:rsid w:val="003B159C"/>
    <w:rsid w:val="003B2927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D5DE4"/>
    <w:rsid w:val="003E15FA"/>
    <w:rsid w:val="003E55E4"/>
    <w:rsid w:val="003E74E3"/>
    <w:rsid w:val="003F05C7"/>
    <w:rsid w:val="003F2CD4"/>
    <w:rsid w:val="003F32CA"/>
    <w:rsid w:val="003F6BBE"/>
    <w:rsid w:val="003F77AD"/>
    <w:rsid w:val="004000E8"/>
    <w:rsid w:val="00402E2B"/>
    <w:rsid w:val="0040512B"/>
    <w:rsid w:val="00405CA5"/>
    <w:rsid w:val="00407CD3"/>
    <w:rsid w:val="00410134"/>
    <w:rsid w:val="00410B72"/>
    <w:rsid w:val="00410EB0"/>
    <w:rsid w:val="00410F18"/>
    <w:rsid w:val="0041263E"/>
    <w:rsid w:val="00413AAC"/>
    <w:rsid w:val="00421105"/>
    <w:rsid w:val="004242F4"/>
    <w:rsid w:val="00427248"/>
    <w:rsid w:val="00436933"/>
    <w:rsid w:val="00437447"/>
    <w:rsid w:val="00437D6F"/>
    <w:rsid w:val="004412F7"/>
    <w:rsid w:val="00441A92"/>
    <w:rsid w:val="00444F56"/>
    <w:rsid w:val="00446488"/>
    <w:rsid w:val="004517AA"/>
    <w:rsid w:val="00452CAC"/>
    <w:rsid w:val="00455DA4"/>
    <w:rsid w:val="00457565"/>
    <w:rsid w:val="00457B71"/>
    <w:rsid w:val="00460C54"/>
    <w:rsid w:val="004669E2"/>
    <w:rsid w:val="00470C31"/>
    <w:rsid w:val="004734D0"/>
    <w:rsid w:val="0047556B"/>
    <w:rsid w:val="00476768"/>
    <w:rsid w:val="00477768"/>
    <w:rsid w:val="004871C2"/>
    <w:rsid w:val="00492BC5"/>
    <w:rsid w:val="00493C1C"/>
    <w:rsid w:val="004964F1"/>
    <w:rsid w:val="004A16BC"/>
    <w:rsid w:val="004A2B94"/>
    <w:rsid w:val="004B5247"/>
    <w:rsid w:val="004B7C0C"/>
    <w:rsid w:val="004C2DB9"/>
    <w:rsid w:val="004C3898"/>
    <w:rsid w:val="004D2E73"/>
    <w:rsid w:val="004D2F04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4E33"/>
    <w:rsid w:val="00506557"/>
    <w:rsid w:val="0050677A"/>
    <w:rsid w:val="005108D8"/>
    <w:rsid w:val="005116F9"/>
    <w:rsid w:val="005153A7"/>
    <w:rsid w:val="005219CF"/>
    <w:rsid w:val="00523036"/>
    <w:rsid w:val="00534B59"/>
    <w:rsid w:val="0053617C"/>
    <w:rsid w:val="00536759"/>
    <w:rsid w:val="00537C62"/>
    <w:rsid w:val="005407BC"/>
    <w:rsid w:val="005435CF"/>
    <w:rsid w:val="00546970"/>
    <w:rsid w:val="00554E19"/>
    <w:rsid w:val="0056121F"/>
    <w:rsid w:val="00572505"/>
    <w:rsid w:val="0057360B"/>
    <w:rsid w:val="0057621E"/>
    <w:rsid w:val="0057639E"/>
    <w:rsid w:val="005813BD"/>
    <w:rsid w:val="00582809"/>
    <w:rsid w:val="00585CC0"/>
    <w:rsid w:val="0058798C"/>
    <w:rsid w:val="005900FA"/>
    <w:rsid w:val="00591658"/>
    <w:rsid w:val="005935A4"/>
    <w:rsid w:val="005948C2"/>
    <w:rsid w:val="0059536D"/>
    <w:rsid w:val="00595DCA"/>
    <w:rsid w:val="0059779B"/>
    <w:rsid w:val="005A209A"/>
    <w:rsid w:val="005A5D13"/>
    <w:rsid w:val="005A662D"/>
    <w:rsid w:val="005B35D7"/>
    <w:rsid w:val="005B392A"/>
    <w:rsid w:val="005B3AA3"/>
    <w:rsid w:val="005B591A"/>
    <w:rsid w:val="005B6F83"/>
    <w:rsid w:val="005C0D23"/>
    <w:rsid w:val="005C74FB"/>
    <w:rsid w:val="005C7958"/>
    <w:rsid w:val="005D0CE7"/>
    <w:rsid w:val="005D1602"/>
    <w:rsid w:val="005D5369"/>
    <w:rsid w:val="005E385F"/>
    <w:rsid w:val="005E5B81"/>
    <w:rsid w:val="005F2CB1"/>
    <w:rsid w:val="005F3025"/>
    <w:rsid w:val="005F5209"/>
    <w:rsid w:val="005F5CB2"/>
    <w:rsid w:val="005F618C"/>
    <w:rsid w:val="005F70BD"/>
    <w:rsid w:val="0060283C"/>
    <w:rsid w:val="00604A1C"/>
    <w:rsid w:val="00604F14"/>
    <w:rsid w:val="0061140B"/>
    <w:rsid w:val="00611B83"/>
    <w:rsid w:val="00613257"/>
    <w:rsid w:val="00615618"/>
    <w:rsid w:val="00620A71"/>
    <w:rsid w:val="00620D80"/>
    <w:rsid w:val="006234A6"/>
    <w:rsid w:val="00625B4E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32E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B71"/>
    <w:rsid w:val="00695FC2"/>
    <w:rsid w:val="00696949"/>
    <w:rsid w:val="00697052"/>
    <w:rsid w:val="006A46FB"/>
    <w:rsid w:val="006A5E28"/>
    <w:rsid w:val="006A64EF"/>
    <w:rsid w:val="006A697B"/>
    <w:rsid w:val="006A7AFF"/>
    <w:rsid w:val="006B1816"/>
    <w:rsid w:val="006B2099"/>
    <w:rsid w:val="006B50CF"/>
    <w:rsid w:val="006C03B8"/>
    <w:rsid w:val="006C0E38"/>
    <w:rsid w:val="006C5EC9"/>
    <w:rsid w:val="006C6059"/>
    <w:rsid w:val="006C7522"/>
    <w:rsid w:val="006D6F08"/>
    <w:rsid w:val="006E062C"/>
    <w:rsid w:val="006E28B7"/>
    <w:rsid w:val="006E3310"/>
    <w:rsid w:val="006E4E39"/>
    <w:rsid w:val="006E531C"/>
    <w:rsid w:val="006E565E"/>
    <w:rsid w:val="006E673D"/>
    <w:rsid w:val="006E7D3B"/>
    <w:rsid w:val="006F1B70"/>
    <w:rsid w:val="006F1C0A"/>
    <w:rsid w:val="006F341D"/>
    <w:rsid w:val="006F3CDE"/>
    <w:rsid w:val="006F41FD"/>
    <w:rsid w:val="006F58D4"/>
    <w:rsid w:val="0070346E"/>
    <w:rsid w:val="00704EDB"/>
    <w:rsid w:val="00706101"/>
    <w:rsid w:val="00707072"/>
    <w:rsid w:val="00707D61"/>
    <w:rsid w:val="00711DBA"/>
    <w:rsid w:val="00712287"/>
    <w:rsid w:val="00712772"/>
    <w:rsid w:val="007148D3"/>
    <w:rsid w:val="00715B9A"/>
    <w:rsid w:val="00720AF6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216E"/>
    <w:rsid w:val="00765281"/>
    <w:rsid w:val="00766BAD"/>
    <w:rsid w:val="007730BD"/>
    <w:rsid w:val="007755F2"/>
    <w:rsid w:val="00776971"/>
    <w:rsid w:val="0078177E"/>
    <w:rsid w:val="0078304C"/>
    <w:rsid w:val="0078323E"/>
    <w:rsid w:val="00783673"/>
    <w:rsid w:val="00785490"/>
    <w:rsid w:val="0079056F"/>
    <w:rsid w:val="007925EA"/>
    <w:rsid w:val="00793CD8"/>
    <w:rsid w:val="00795C92"/>
    <w:rsid w:val="00796231"/>
    <w:rsid w:val="007A1CB3"/>
    <w:rsid w:val="007A306F"/>
    <w:rsid w:val="007A43A6"/>
    <w:rsid w:val="007A58A6"/>
    <w:rsid w:val="007A7319"/>
    <w:rsid w:val="007B3D2D"/>
    <w:rsid w:val="007B50AE"/>
    <w:rsid w:val="007B51DF"/>
    <w:rsid w:val="007B53CB"/>
    <w:rsid w:val="007B68FC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42B"/>
    <w:rsid w:val="00803FAE"/>
    <w:rsid w:val="0080605F"/>
    <w:rsid w:val="00807786"/>
    <w:rsid w:val="00811FCB"/>
    <w:rsid w:val="00813F37"/>
    <w:rsid w:val="008142E6"/>
    <w:rsid w:val="008158D6"/>
    <w:rsid w:val="00816D40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587B"/>
    <w:rsid w:val="00846FE7"/>
    <w:rsid w:val="00851EEF"/>
    <w:rsid w:val="00854F97"/>
    <w:rsid w:val="00855191"/>
    <w:rsid w:val="00856911"/>
    <w:rsid w:val="008600A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B94"/>
    <w:rsid w:val="00894A88"/>
    <w:rsid w:val="00895386"/>
    <w:rsid w:val="008A1F6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4F37"/>
    <w:rsid w:val="008C6AE8"/>
    <w:rsid w:val="008C7573"/>
    <w:rsid w:val="008D34F1"/>
    <w:rsid w:val="008D39D8"/>
    <w:rsid w:val="008D6D1A"/>
    <w:rsid w:val="008E065E"/>
    <w:rsid w:val="008E0927"/>
    <w:rsid w:val="008E1909"/>
    <w:rsid w:val="008E7D8C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44E1"/>
    <w:rsid w:val="00931BD9"/>
    <w:rsid w:val="0093680D"/>
    <w:rsid w:val="009368F3"/>
    <w:rsid w:val="00941636"/>
    <w:rsid w:val="00941A47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0B3"/>
    <w:rsid w:val="0096430A"/>
    <w:rsid w:val="0096554B"/>
    <w:rsid w:val="0096584A"/>
    <w:rsid w:val="00971F08"/>
    <w:rsid w:val="0097603D"/>
    <w:rsid w:val="00976949"/>
    <w:rsid w:val="00980477"/>
    <w:rsid w:val="00984BDB"/>
    <w:rsid w:val="00985253"/>
    <w:rsid w:val="009853B3"/>
    <w:rsid w:val="00990630"/>
    <w:rsid w:val="00991144"/>
    <w:rsid w:val="00991761"/>
    <w:rsid w:val="00992AFA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0B57"/>
    <w:rsid w:val="009C1E96"/>
    <w:rsid w:val="009C403E"/>
    <w:rsid w:val="009D4FF0"/>
    <w:rsid w:val="009D52D2"/>
    <w:rsid w:val="009D703C"/>
    <w:rsid w:val="009D718F"/>
    <w:rsid w:val="009E068F"/>
    <w:rsid w:val="009E1070"/>
    <w:rsid w:val="009E14E0"/>
    <w:rsid w:val="009E35DB"/>
    <w:rsid w:val="009E47A3"/>
    <w:rsid w:val="009F08F3"/>
    <w:rsid w:val="009F344F"/>
    <w:rsid w:val="00A01A5D"/>
    <w:rsid w:val="00A01B7D"/>
    <w:rsid w:val="00A048A8"/>
    <w:rsid w:val="00A04F49"/>
    <w:rsid w:val="00A13E54"/>
    <w:rsid w:val="00A17F63"/>
    <w:rsid w:val="00A2052C"/>
    <w:rsid w:val="00A2193B"/>
    <w:rsid w:val="00A2351A"/>
    <w:rsid w:val="00A25529"/>
    <w:rsid w:val="00A264A9"/>
    <w:rsid w:val="00A27785"/>
    <w:rsid w:val="00A30187"/>
    <w:rsid w:val="00A33700"/>
    <w:rsid w:val="00A3448A"/>
    <w:rsid w:val="00A36297"/>
    <w:rsid w:val="00A40471"/>
    <w:rsid w:val="00A41E2B"/>
    <w:rsid w:val="00A45B74"/>
    <w:rsid w:val="00A47E0C"/>
    <w:rsid w:val="00A52E1D"/>
    <w:rsid w:val="00A55B7E"/>
    <w:rsid w:val="00A56357"/>
    <w:rsid w:val="00A6011E"/>
    <w:rsid w:val="00A608CC"/>
    <w:rsid w:val="00A61499"/>
    <w:rsid w:val="00A62A77"/>
    <w:rsid w:val="00A63483"/>
    <w:rsid w:val="00A657D7"/>
    <w:rsid w:val="00A660AC"/>
    <w:rsid w:val="00A66E8D"/>
    <w:rsid w:val="00A66F55"/>
    <w:rsid w:val="00A67E6C"/>
    <w:rsid w:val="00A71B99"/>
    <w:rsid w:val="00A739D0"/>
    <w:rsid w:val="00A7409C"/>
    <w:rsid w:val="00A761D4"/>
    <w:rsid w:val="00A77EC4"/>
    <w:rsid w:val="00A92879"/>
    <w:rsid w:val="00A9442A"/>
    <w:rsid w:val="00A95E9B"/>
    <w:rsid w:val="00AA016F"/>
    <w:rsid w:val="00AA1ED6"/>
    <w:rsid w:val="00AA267C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6BB5"/>
    <w:rsid w:val="00AF090D"/>
    <w:rsid w:val="00AF1C5D"/>
    <w:rsid w:val="00AF42D7"/>
    <w:rsid w:val="00B006FE"/>
    <w:rsid w:val="00B007CB"/>
    <w:rsid w:val="00B0273F"/>
    <w:rsid w:val="00B02AA9"/>
    <w:rsid w:val="00B02FA3"/>
    <w:rsid w:val="00B05084"/>
    <w:rsid w:val="00B157F9"/>
    <w:rsid w:val="00B20256"/>
    <w:rsid w:val="00B20D09"/>
    <w:rsid w:val="00B20FC3"/>
    <w:rsid w:val="00B2763F"/>
    <w:rsid w:val="00B27AAC"/>
    <w:rsid w:val="00B30929"/>
    <w:rsid w:val="00B372AA"/>
    <w:rsid w:val="00B40445"/>
    <w:rsid w:val="00B41888"/>
    <w:rsid w:val="00B45A52"/>
    <w:rsid w:val="00B46175"/>
    <w:rsid w:val="00B5081A"/>
    <w:rsid w:val="00B519BD"/>
    <w:rsid w:val="00B569D7"/>
    <w:rsid w:val="00B6188F"/>
    <w:rsid w:val="00B664C7"/>
    <w:rsid w:val="00B739F6"/>
    <w:rsid w:val="00B754B5"/>
    <w:rsid w:val="00B761EB"/>
    <w:rsid w:val="00B81A6C"/>
    <w:rsid w:val="00B8293F"/>
    <w:rsid w:val="00B82FE9"/>
    <w:rsid w:val="00B85DE5"/>
    <w:rsid w:val="00B90F73"/>
    <w:rsid w:val="00B93B59"/>
    <w:rsid w:val="00B9406A"/>
    <w:rsid w:val="00B97C1B"/>
    <w:rsid w:val="00BA2280"/>
    <w:rsid w:val="00BA2A08"/>
    <w:rsid w:val="00BA5234"/>
    <w:rsid w:val="00BA56D2"/>
    <w:rsid w:val="00BA5C25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A3C"/>
    <w:rsid w:val="00BE2FA6"/>
    <w:rsid w:val="00BE333F"/>
    <w:rsid w:val="00BE7406"/>
    <w:rsid w:val="00BE7603"/>
    <w:rsid w:val="00BF3279"/>
    <w:rsid w:val="00BF74C7"/>
    <w:rsid w:val="00C015F1"/>
    <w:rsid w:val="00C01F33"/>
    <w:rsid w:val="00C023DB"/>
    <w:rsid w:val="00C02CC6"/>
    <w:rsid w:val="00C040F7"/>
    <w:rsid w:val="00C041B0"/>
    <w:rsid w:val="00C044AB"/>
    <w:rsid w:val="00C04B1A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010E"/>
    <w:rsid w:val="00C3719D"/>
    <w:rsid w:val="00C37CC4"/>
    <w:rsid w:val="00C53F4D"/>
    <w:rsid w:val="00C54995"/>
    <w:rsid w:val="00C54D41"/>
    <w:rsid w:val="00C60783"/>
    <w:rsid w:val="00C64672"/>
    <w:rsid w:val="00C66210"/>
    <w:rsid w:val="00C7051F"/>
    <w:rsid w:val="00C70697"/>
    <w:rsid w:val="00C72EF4"/>
    <w:rsid w:val="00C75D2F"/>
    <w:rsid w:val="00C767BE"/>
    <w:rsid w:val="00C76E3C"/>
    <w:rsid w:val="00C81568"/>
    <w:rsid w:val="00C850BD"/>
    <w:rsid w:val="00C9027A"/>
    <w:rsid w:val="00C9068E"/>
    <w:rsid w:val="00C93C4B"/>
    <w:rsid w:val="00C944AB"/>
    <w:rsid w:val="00C95B40"/>
    <w:rsid w:val="00CA1ED8"/>
    <w:rsid w:val="00CA6BF4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2FF4"/>
    <w:rsid w:val="00CF355A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666C9"/>
    <w:rsid w:val="00D676DA"/>
    <w:rsid w:val="00D708B0"/>
    <w:rsid w:val="00D775A8"/>
    <w:rsid w:val="00D77B1D"/>
    <w:rsid w:val="00D8021F"/>
    <w:rsid w:val="00D80383"/>
    <w:rsid w:val="00D81BA4"/>
    <w:rsid w:val="00D823C6"/>
    <w:rsid w:val="00D86CA3"/>
    <w:rsid w:val="00D871CE"/>
    <w:rsid w:val="00D9196D"/>
    <w:rsid w:val="00D92982"/>
    <w:rsid w:val="00DA243C"/>
    <w:rsid w:val="00DA305E"/>
    <w:rsid w:val="00DA5417"/>
    <w:rsid w:val="00DA56E8"/>
    <w:rsid w:val="00DB0A9F"/>
    <w:rsid w:val="00DB377D"/>
    <w:rsid w:val="00DB420A"/>
    <w:rsid w:val="00DC2D36"/>
    <w:rsid w:val="00DC53EF"/>
    <w:rsid w:val="00DD2B54"/>
    <w:rsid w:val="00DE02DF"/>
    <w:rsid w:val="00DE5608"/>
    <w:rsid w:val="00DE58D0"/>
    <w:rsid w:val="00DE654F"/>
    <w:rsid w:val="00DF0B6E"/>
    <w:rsid w:val="00DF15E0"/>
    <w:rsid w:val="00DF37A0"/>
    <w:rsid w:val="00E05CE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A17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612"/>
    <w:rsid w:val="00E87822"/>
    <w:rsid w:val="00E90394"/>
    <w:rsid w:val="00E90395"/>
    <w:rsid w:val="00E90E49"/>
    <w:rsid w:val="00E917F9"/>
    <w:rsid w:val="00E9269D"/>
    <w:rsid w:val="00E9291C"/>
    <w:rsid w:val="00E93FFE"/>
    <w:rsid w:val="00E94F8A"/>
    <w:rsid w:val="00EA0546"/>
    <w:rsid w:val="00EA5DFA"/>
    <w:rsid w:val="00EA7A41"/>
    <w:rsid w:val="00EB077B"/>
    <w:rsid w:val="00EB4EA2"/>
    <w:rsid w:val="00EC27C6"/>
    <w:rsid w:val="00EC4207"/>
    <w:rsid w:val="00EC5653"/>
    <w:rsid w:val="00EC5C3A"/>
    <w:rsid w:val="00EC71CE"/>
    <w:rsid w:val="00ED1006"/>
    <w:rsid w:val="00EF18FE"/>
    <w:rsid w:val="00EF5787"/>
    <w:rsid w:val="00EF60D0"/>
    <w:rsid w:val="00F02BB1"/>
    <w:rsid w:val="00F0528D"/>
    <w:rsid w:val="00F0610B"/>
    <w:rsid w:val="00F06C67"/>
    <w:rsid w:val="00F06DFD"/>
    <w:rsid w:val="00F071D1"/>
    <w:rsid w:val="00F07533"/>
    <w:rsid w:val="00F10629"/>
    <w:rsid w:val="00F12351"/>
    <w:rsid w:val="00F15FA5"/>
    <w:rsid w:val="00F209B7"/>
    <w:rsid w:val="00F2376F"/>
    <w:rsid w:val="00F243D8"/>
    <w:rsid w:val="00F3054B"/>
    <w:rsid w:val="00F30828"/>
    <w:rsid w:val="00F313D6"/>
    <w:rsid w:val="00F31424"/>
    <w:rsid w:val="00F351BB"/>
    <w:rsid w:val="00F36AC9"/>
    <w:rsid w:val="00F40F0C"/>
    <w:rsid w:val="00F4700D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966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13A4"/>
    <w:rsid w:val="00F92782"/>
    <w:rsid w:val="00F93AA9"/>
    <w:rsid w:val="00F96985"/>
    <w:rsid w:val="00F97838"/>
    <w:rsid w:val="00FA2BB3"/>
    <w:rsid w:val="00FA6FF4"/>
    <w:rsid w:val="00FB385D"/>
    <w:rsid w:val="00FB4C80"/>
    <w:rsid w:val="00FB6A6A"/>
    <w:rsid w:val="00FC7429"/>
    <w:rsid w:val="00FD07F6"/>
    <w:rsid w:val="00FD14DB"/>
    <w:rsid w:val="00FD1EC8"/>
    <w:rsid w:val="00FD47ED"/>
    <w:rsid w:val="00FD74DB"/>
    <w:rsid w:val="00FD7660"/>
    <w:rsid w:val="00FE0655"/>
    <w:rsid w:val="00FE1D76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E4EFCE"/>
  <w15:chartTrackingRefBased/>
  <w15:docId w15:val="{B80890D0-582B-4535-A271-A4E2CE3A8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00A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8600A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8600A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8600A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H,4,Memo,5"/>
    <w:basedOn w:val="Heading3"/>
    <w:next w:val="Normal"/>
    <w:qFormat/>
    <w:rsid w:val="008600A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rsid w:val="008600A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600A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600A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600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600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600A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600A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600A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600A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600A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600A3"/>
    <w:pPr>
      <w:ind w:left="1418" w:hanging="1418"/>
    </w:pPr>
  </w:style>
  <w:style w:type="paragraph" w:styleId="TOC3">
    <w:name w:val="toc 3"/>
    <w:basedOn w:val="TOC2"/>
    <w:semiHidden/>
    <w:rsid w:val="008600A3"/>
    <w:pPr>
      <w:ind w:left="1134" w:hanging="1134"/>
    </w:pPr>
  </w:style>
  <w:style w:type="paragraph" w:styleId="TOC2">
    <w:name w:val="toc 2"/>
    <w:basedOn w:val="TOC1"/>
    <w:semiHidden/>
    <w:rsid w:val="008600A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600A3"/>
    <w:pPr>
      <w:ind w:left="284"/>
    </w:pPr>
  </w:style>
  <w:style w:type="paragraph" w:styleId="Index1">
    <w:name w:val="index 1"/>
    <w:basedOn w:val="Normal"/>
    <w:semiHidden/>
    <w:rsid w:val="008600A3"/>
    <w:pPr>
      <w:keepLines/>
      <w:spacing w:after="0"/>
    </w:pPr>
  </w:style>
  <w:style w:type="paragraph" w:styleId="DocumentMap">
    <w:name w:val="Document Map"/>
    <w:basedOn w:val="Normal"/>
    <w:semiHidden/>
    <w:rsid w:val="008600A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600A3"/>
    <w:pPr>
      <w:ind w:left="851"/>
    </w:pPr>
  </w:style>
  <w:style w:type="paragraph" w:styleId="ListNumber">
    <w:name w:val="List Number"/>
    <w:basedOn w:val="List"/>
    <w:rsid w:val="008600A3"/>
  </w:style>
  <w:style w:type="paragraph" w:styleId="List">
    <w:name w:val="List"/>
    <w:basedOn w:val="Normal"/>
    <w:rsid w:val="008600A3"/>
    <w:pPr>
      <w:ind w:left="568" w:hanging="284"/>
    </w:pPr>
  </w:style>
  <w:style w:type="paragraph" w:styleId="Header">
    <w:name w:val="header"/>
    <w:rsid w:val="008600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600A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600A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8600A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600A3"/>
    <w:pPr>
      <w:ind w:left="1418" w:hanging="1418"/>
    </w:pPr>
  </w:style>
  <w:style w:type="paragraph" w:styleId="TOC6">
    <w:name w:val="toc 6"/>
    <w:basedOn w:val="TOC5"/>
    <w:next w:val="Normal"/>
    <w:semiHidden/>
    <w:rsid w:val="008600A3"/>
    <w:pPr>
      <w:ind w:left="1985" w:hanging="1985"/>
    </w:pPr>
  </w:style>
  <w:style w:type="paragraph" w:styleId="TOC7">
    <w:name w:val="toc 7"/>
    <w:basedOn w:val="TOC6"/>
    <w:next w:val="Normal"/>
    <w:semiHidden/>
    <w:rsid w:val="008600A3"/>
    <w:pPr>
      <w:ind w:left="2268" w:hanging="2268"/>
    </w:pPr>
  </w:style>
  <w:style w:type="paragraph" w:styleId="ListBullet2">
    <w:name w:val="List Bullet 2"/>
    <w:basedOn w:val="ListBullet"/>
    <w:rsid w:val="008600A3"/>
    <w:pPr>
      <w:numPr>
        <w:numId w:val="6"/>
      </w:numPr>
    </w:pPr>
  </w:style>
  <w:style w:type="paragraph" w:styleId="ListBullet">
    <w:name w:val="List Bullet"/>
    <w:basedOn w:val="BodyText"/>
    <w:rsid w:val="008600A3"/>
    <w:pPr>
      <w:numPr>
        <w:numId w:val="5"/>
      </w:numPr>
    </w:pPr>
  </w:style>
  <w:style w:type="paragraph" w:styleId="ListBullet3">
    <w:name w:val="List Bullet 3"/>
    <w:basedOn w:val="ListBullet2"/>
    <w:rsid w:val="008600A3"/>
    <w:pPr>
      <w:numPr>
        <w:numId w:val="7"/>
      </w:numPr>
    </w:pPr>
  </w:style>
  <w:style w:type="paragraph" w:customStyle="1" w:styleId="EQ">
    <w:name w:val="EQ"/>
    <w:basedOn w:val="Normal"/>
    <w:next w:val="Normal"/>
    <w:rsid w:val="008600A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600A3"/>
    <w:pPr>
      <w:ind w:left="851"/>
    </w:pPr>
  </w:style>
  <w:style w:type="paragraph" w:styleId="List3">
    <w:name w:val="List 3"/>
    <w:basedOn w:val="List2"/>
    <w:rsid w:val="008600A3"/>
    <w:pPr>
      <w:ind w:left="1135"/>
    </w:pPr>
  </w:style>
  <w:style w:type="paragraph" w:styleId="List4">
    <w:name w:val="List 4"/>
    <w:basedOn w:val="List3"/>
    <w:rsid w:val="008600A3"/>
    <w:pPr>
      <w:ind w:left="1418"/>
    </w:pPr>
  </w:style>
  <w:style w:type="paragraph" w:styleId="List5">
    <w:name w:val="List 5"/>
    <w:basedOn w:val="List4"/>
    <w:rsid w:val="008600A3"/>
    <w:pPr>
      <w:ind w:left="1702"/>
    </w:pPr>
  </w:style>
  <w:style w:type="paragraph" w:customStyle="1" w:styleId="EditorsNote">
    <w:name w:val="Editor's Note"/>
    <w:basedOn w:val="Normal"/>
    <w:rsid w:val="008600A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600A3"/>
    <w:pPr>
      <w:numPr>
        <w:numId w:val="8"/>
      </w:numPr>
    </w:pPr>
  </w:style>
  <w:style w:type="paragraph" w:styleId="ListBullet5">
    <w:name w:val="List Bullet 5"/>
    <w:basedOn w:val="ListBullet4"/>
    <w:rsid w:val="008600A3"/>
    <w:pPr>
      <w:numPr>
        <w:numId w:val="4"/>
      </w:numPr>
    </w:pPr>
  </w:style>
  <w:style w:type="paragraph" w:styleId="Footer">
    <w:name w:val="footer"/>
    <w:basedOn w:val="Header"/>
    <w:semiHidden/>
    <w:rsid w:val="008600A3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8600A3"/>
    <w:pPr>
      <w:numPr>
        <w:numId w:val="2"/>
      </w:numPr>
    </w:pPr>
  </w:style>
  <w:style w:type="paragraph" w:styleId="BalloonText">
    <w:name w:val="Balloon Text"/>
    <w:basedOn w:val="Normal"/>
    <w:semiHidden/>
    <w:rsid w:val="008600A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600A3"/>
  </w:style>
  <w:style w:type="paragraph" w:styleId="BodyText">
    <w:name w:val="Body Text"/>
    <w:basedOn w:val="Normal"/>
    <w:link w:val="BodyTextChar"/>
    <w:rsid w:val="008600A3"/>
  </w:style>
  <w:style w:type="character" w:styleId="Hyperlink">
    <w:name w:val="Hyperlink"/>
    <w:uiPriority w:val="99"/>
    <w:rsid w:val="008600A3"/>
    <w:rPr>
      <w:color w:val="0000FF"/>
      <w:u w:val="single"/>
      <w:lang w:val="en-GB"/>
    </w:rPr>
  </w:style>
  <w:style w:type="character" w:styleId="FollowedHyperlink">
    <w:name w:val="FollowedHyperlink"/>
    <w:semiHidden/>
    <w:rsid w:val="008600A3"/>
    <w:rPr>
      <w:color w:val="FF0000"/>
      <w:u w:val="single"/>
    </w:rPr>
  </w:style>
  <w:style w:type="character" w:styleId="CommentReference">
    <w:name w:val="annotation reference"/>
    <w:semiHidden/>
    <w:rsid w:val="008600A3"/>
    <w:rPr>
      <w:sz w:val="16"/>
      <w:szCs w:val="16"/>
    </w:rPr>
  </w:style>
  <w:style w:type="paragraph" w:styleId="CommentText">
    <w:name w:val="annotation text"/>
    <w:basedOn w:val="Normal"/>
    <w:semiHidden/>
    <w:rsid w:val="008600A3"/>
  </w:style>
  <w:style w:type="paragraph" w:styleId="CommentSubject">
    <w:name w:val="annotation subject"/>
    <w:basedOn w:val="CommentText"/>
    <w:next w:val="CommentText"/>
    <w:semiHidden/>
    <w:rsid w:val="008600A3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600A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600A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600A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600A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600A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8600A3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600A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600A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600A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600A3"/>
    <w:pPr>
      <w:spacing w:after="0"/>
    </w:pPr>
  </w:style>
  <w:style w:type="paragraph" w:customStyle="1" w:styleId="TAL">
    <w:name w:val="TAL"/>
    <w:basedOn w:val="Normal"/>
    <w:rsid w:val="008600A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600A3"/>
    <w:pPr>
      <w:jc w:val="center"/>
    </w:pPr>
  </w:style>
  <w:style w:type="paragraph" w:customStyle="1" w:styleId="TAH">
    <w:name w:val="TAH"/>
    <w:basedOn w:val="TAC"/>
    <w:rsid w:val="008600A3"/>
    <w:rPr>
      <w:b/>
    </w:rPr>
  </w:style>
  <w:style w:type="paragraph" w:customStyle="1" w:styleId="TAN">
    <w:name w:val="TAN"/>
    <w:basedOn w:val="TAL"/>
    <w:rsid w:val="008600A3"/>
    <w:pPr>
      <w:ind w:left="851" w:hanging="851"/>
    </w:pPr>
  </w:style>
  <w:style w:type="paragraph" w:customStyle="1" w:styleId="TAR">
    <w:name w:val="TAR"/>
    <w:basedOn w:val="TAL"/>
    <w:rsid w:val="008600A3"/>
    <w:pPr>
      <w:jc w:val="right"/>
    </w:pPr>
  </w:style>
  <w:style w:type="paragraph" w:customStyle="1" w:styleId="TH">
    <w:name w:val="TH"/>
    <w:basedOn w:val="Normal"/>
    <w:rsid w:val="008600A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600A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600A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600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00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00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600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600A3"/>
  </w:style>
  <w:style w:type="paragraph" w:customStyle="1" w:styleId="ZH">
    <w:name w:val="ZH"/>
    <w:rsid w:val="008600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600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600A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600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00A3"/>
    <w:pPr>
      <w:framePr w:wrap="notBeside" w:y="16161"/>
    </w:pPr>
  </w:style>
  <w:style w:type="paragraph" w:customStyle="1" w:styleId="FP">
    <w:name w:val="FP"/>
    <w:basedOn w:val="Normal"/>
    <w:rsid w:val="008600A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600A3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8600A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8600A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600A3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A56357"/>
    <w:rPr>
      <w:rFonts w:ascii="Times" w:eastAsia="Batang" w:hAnsi="Times" w:cs="Times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56357"/>
    <w:pPr>
      <w:overflowPunct/>
      <w:autoSpaceDE/>
      <w:autoSpaceDN/>
      <w:adjustRightInd/>
      <w:spacing w:after="0"/>
      <w:ind w:leftChars="400" w:left="840" w:hanging="1440"/>
      <w:jc w:val="left"/>
      <w:textAlignment w:val="auto"/>
    </w:pPr>
    <w:rPr>
      <w:rFonts w:ascii="Times" w:eastAsia="Batang" w:hAnsi="Times" w:cs="Times"/>
      <w:szCs w:val="24"/>
      <w:lang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F0610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0610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F0610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F0610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B519BD"/>
    <w:rPr>
      <w:rFonts w:ascii="Arial" w:hAnsi="Arial"/>
      <w:lang w:val="en-GB" w:eastAsia="zh-CN"/>
    </w:rPr>
  </w:style>
  <w:style w:type="paragraph" w:customStyle="1" w:styleId="TdocHeader2">
    <w:name w:val="Tdoc_Header_2"/>
    <w:basedOn w:val="Normal"/>
    <w:rsid w:val="002C7218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 w:line="259" w:lineRule="auto"/>
      <w:jc w:val="left"/>
      <w:textAlignment w:val="auto"/>
    </w:pPr>
    <w:rPr>
      <w:rFonts w:asciiTheme="minorHAnsi" w:eastAsia="Batang" w:hAnsiTheme="minorHAnsi" w:cstheme="minorBidi"/>
      <w:b/>
      <w:sz w:val="18"/>
      <w:szCs w:val="22"/>
      <w:lang w:val="en-US" w:eastAsia="en-US"/>
    </w:rPr>
  </w:style>
  <w:style w:type="character" w:customStyle="1" w:styleId="ReferenceChar">
    <w:name w:val="Reference Char"/>
    <w:link w:val="Reference"/>
    <w:rsid w:val="002C7218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69592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1505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44128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2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938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435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9206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9197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3973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eekar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5NUHHDQN7SK2-1-178444</_dlc_DocId>
    <_dlc_DocIdUrl xmlns="f166a696-7b5b-4ccd-9f0c-ffde0cceec81">
      <Url>https://ericsson.sharepoint.com/sites/star/_layouts/15/DocIdRedir.aspx?ID=5NUHHDQN7SK2-1-178444</Url>
      <Description>5NUHHDQN7SK2-1-178444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B2032-380F-4044-B161-635798DAA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B76EA-7325-4B2D-8A6F-DF956586C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21501B6-39B7-462E-BC8A-8B6B0559959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05D67812-B52B-498D-8689-978EF4913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4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Reem Karaki</dc:creator>
  <cp:keywords>TDoc; Ericsson; 3GPP</cp:keywords>
  <dc:description/>
  <cp:lastModifiedBy>Reem Karaki</cp:lastModifiedBy>
  <cp:revision>49</cp:revision>
  <cp:lastPrinted>2008-01-31T16:09:00Z</cp:lastPrinted>
  <dcterms:created xsi:type="dcterms:W3CDTF">2018-02-07T00:04:00Z</dcterms:created>
  <dcterms:modified xsi:type="dcterms:W3CDTF">2018-04-06T13:50:00Z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d49ceaf1-5f66-42eb-a9b4-65f854fd4a2e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